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9AD9" w14:textId="069579DE" w:rsidR="008E5F71" w:rsidRDefault="000D47B4" w:rsidP="0062006E">
      <w:pPr>
        <w:pStyle w:val="Subtitle"/>
        <w:jc w:val="left"/>
      </w:pPr>
      <w:r>
        <w:rPr>
          <w:noProof/>
        </w:rPr>
        <mc:AlternateContent>
          <mc:Choice Requires="wps">
            <w:drawing>
              <wp:anchor distT="45720" distB="45720" distL="114300" distR="114300" simplePos="0" relativeHeight="251662336" behindDoc="0" locked="0" layoutInCell="1" allowOverlap="1" wp14:anchorId="5F694729" wp14:editId="5FFBCF08">
                <wp:simplePos x="0" y="0"/>
                <wp:positionH relativeFrom="margin">
                  <wp:posOffset>581025</wp:posOffset>
                </wp:positionH>
                <wp:positionV relativeFrom="page">
                  <wp:posOffset>800364</wp:posOffset>
                </wp:positionV>
                <wp:extent cx="6291580" cy="5689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568960"/>
                        </a:xfrm>
                        <a:prstGeom prst="rect">
                          <a:avLst/>
                        </a:prstGeom>
                        <a:noFill/>
                        <a:ln w="9525">
                          <a:noFill/>
                          <a:miter lim="800000"/>
                          <a:headEnd/>
                          <a:tailEnd/>
                        </a:ln>
                      </wps:spPr>
                      <wps:txbx>
                        <w:txbxContent>
                          <w:p w14:paraId="625FEDBE" w14:textId="66F418B1" w:rsidR="00EA21CD" w:rsidRPr="00490CE6" w:rsidRDefault="009A4BAF" w:rsidP="0062006E">
                            <w:pPr>
                              <w:pStyle w:val="Heading1"/>
                            </w:pPr>
                            <w:r>
                              <w:t>2025</w:t>
                            </w:r>
                            <w:r w:rsidR="00490CE6" w:rsidRPr="00490CE6">
                              <w:t xml:space="preserve"> Occupational Employment</w:t>
                            </w:r>
                            <w:r w:rsidR="00490CE6">
                              <w:t xml:space="preserve"> a</w:t>
                            </w:r>
                            <w:r w:rsidR="00490CE6" w:rsidRPr="00490CE6">
                              <w:t>nd Wage Statistics</w:t>
                            </w:r>
                            <w:r w:rsidR="00490CE6">
                              <w:t xml:space="preserve"> </w:t>
                            </w:r>
                            <w:r w:rsidR="00490CE6" w:rsidRPr="00490CE6">
                              <w:t>(</w:t>
                            </w:r>
                            <w:r w:rsidR="00490CE6">
                              <w:t>O</w:t>
                            </w:r>
                            <w:r w:rsidR="004923D7">
                              <w:t>E</w:t>
                            </w:r>
                            <w:r w:rsidR="00490CE6">
                              <w:t>WS</w:t>
                            </w:r>
                            <w:r w:rsidR="00490CE6" w:rsidRPr="00490CE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94729" id="_x0000_t202" coordsize="21600,21600" o:spt="202" path="m,l,21600r21600,l21600,xe">
                <v:stroke joinstyle="miter"/>
                <v:path gradientshapeok="t" o:connecttype="rect"/>
              </v:shapetype>
              <v:shape id="Text Box 2" o:spid="_x0000_s1026" type="#_x0000_t202" style="position:absolute;margin-left:45.75pt;margin-top:63pt;width:495.4pt;height:44.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" filled="f" stroked="f">
                <v:textbox>
                  <w:txbxContent>
                    <w:p w14:paraId="625FEDBE" w14:textId="66F418B1" w:rsidR="00EA21CD" w:rsidRPr="00490CE6" w:rsidRDefault="009A4BAF" w:rsidP="0062006E">
                      <w:pPr>
                        <w:pStyle w:val="Heading1"/>
                      </w:pPr>
                      <w:r>
                        <w:t>2025</w:t>
                      </w:r>
                      <w:r w:rsidR="00490CE6" w:rsidRPr="00490CE6">
                        <w:t xml:space="preserve"> Occupational Employment</w:t>
                      </w:r>
                      <w:r w:rsidR="00490CE6">
                        <w:t xml:space="preserve"> a</w:t>
                      </w:r>
                      <w:r w:rsidR="00490CE6" w:rsidRPr="00490CE6">
                        <w:t>nd Wage Statistics</w:t>
                      </w:r>
                      <w:r w:rsidR="00490CE6">
                        <w:t xml:space="preserve"> </w:t>
                      </w:r>
                      <w:r w:rsidR="00490CE6" w:rsidRPr="00490CE6">
                        <w:t>(</w:t>
                      </w:r>
                      <w:r w:rsidR="00490CE6">
                        <w:t>O</w:t>
                      </w:r>
                      <w:r w:rsidR="004923D7">
                        <w:t>E</w:t>
                      </w:r>
                      <w:r w:rsidR="00490CE6">
                        <w:t>WS</w:t>
                      </w:r>
                      <w:r w:rsidR="00490CE6" w:rsidRPr="00490CE6">
                        <w:t>)</w:t>
                      </w:r>
                    </w:p>
                  </w:txbxContent>
                </v:textbox>
                <w10:wrap type="square" anchorx="margin" anchory="page"/>
              </v:shape>
            </w:pict>
          </mc:Fallback>
        </mc:AlternateContent>
      </w:r>
    </w:p>
    <w:p w14:paraId="334E27EE" w14:textId="77777777" w:rsidR="008E5F71" w:rsidRDefault="008E5F71" w:rsidP="0062006E">
      <w:pPr>
        <w:pStyle w:val="Subtitle"/>
        <w:jc w:val="left"/>
      </w:pPr>
    </w:p>
    <w:p w14:paraId="0A119997" w14:textId="1D1D42B9" w:rsidR="00805CA2" w:rsidRPr="00E07E3D" w:rsidRDefault="008E5F71" w:rsidP="0062006E">
      <w:pPr>
        <w:pStyle w:val="Subtitle"/>
        <w:rPr>
          <w:sz w:val="32"/>
          <w:szCs w:val="28"/>
        </w:rPr>
      </w:pPr>
      <w:r w:rsidRPr="00E07E3D">
        <w:rPr>
          <w:noProof/>
          <w:sz w:val="32"/>
          <w:szCs w:val="28"/>
        </w:rPr>
        <mc:AlternateContent>
          <mc:Choice Requires="wps">
            <w:drawing>
              <wp:anchor distT="0" distB="0" distL="114300" distR="114300" simplePos="0" relativeHeight="251665408" behindDoc="1" locked="1" layoutInCell="1" allowOverlap="1" wp14:anchorId="5F191FFE" wp14:editId="7B3D4A1B">
                <wp:simplePos x="0" y="0"/>
                <wp:positionH relativeFrom="margin">
                  <wp:posOffset>667385</wp:posOffset>
                </wp:positionH>
                <wp:positionV relativeFrom="page">
                  <wp:posOffset>1267460</wp:posOffset>
                </wp:positionV>
                <wp:extent cx="5149850" cy="0"/>
                <wp:effectExtent l="0" t="19050" r="31750" b="19050"/>
                <wp:wrapNone/>
                <wp:docPr id="4" name="Straight Connector 4"/>
                <wp:cNvGraphicFramePr/>
                <a:graphic xmlns:a="http://schemas.openxmlformats.org/drawingml/2006/main">
                  <a:graphicData uri="http://schemas.microsoft.com/office/word/2010/wordprocessingShape">
                    <wps:wsp>
                      <wps:cNvCnPr/>
                      <wps:spPr>
                        <a:xfrm flipV="1">
                          <a:off x="0" y="0"/>
                          <a:ext cx="5149850" cy="0"/>
                        </a:xfrm>
                        <a:prstGeom prst="line">
                          <a:avLst/>
                        </a:prstGeom>
                        <a:ln w="28575">
                          <a:solidFill>
                            <a:srgbClr val="0C2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D1E87" id="Straight Connector 4" o:spid="_x0000_s1026" style="position:absolute;flip:y;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2.55pt,99.8pt" to="458.0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" strokecolor="#0c2462" strokeweight="2.25pt">
                <v:stroke joinstyle="miter"/>
                <w10:wrap anchorx="margin" anchory="page"/>
                <w10:anchorlock/>
              </v:line>
            </w:pict>
          </mc:Fallback>
        </mc:AlternateContent>
      </w:r>
      <w:r w:rsidRPr="00E07E3D">
        <w:rPr>
          <w:noProof/>
          <w:sz w:val="32"/>
          <w:szCs w:val="28"/>
        </w:rPr>
        <w:drawing>
          <wp:anchor distT="0" distB="0" distL="114300" distR="114300" simplePos="0" relativeHeight="251660288" behindDoc="0" locked="1" layoutInCell="1" allowOverlap="0" wp14:anchorId="65E240EF" wp14:editId="7950EDDC">
            <wp:simplePos x="0" y="0"/>
            <wp:positionH relativeFrom="column">
              <wp:posOffset>-109855</wp:posOffset>
            </wp:positionH>
            <wp:positionV relativeFrom="margin">
              <wp:posOffset>-244475</wp:posOffset>
            </wp:positionV>
            <wp:extent cx="694690" cy="7772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Ystats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4690" cy="777240"/>
                    </a:xfrm>
                    <a:prstGeom prst="rect">
                      <a:avLst/>
                    </a:prstGeom>
                  </pic:spPr>
                </pic:pic>
              </a:graphicData>
            </a:graphic>
            <wp14:sizeRelH relativeFrom="margin">
              <wp14:pctWidth>0</wp14:pctWidth>
            </wp14:sizeRelH>
            <wp14:sizeRelV relativeFrom="margin">
              <wp14:pctHeight>0</wp14:pctHeight>
            </wp14:sizeRelV>
          </wp:anchor>
        </w:drawing>
      </w:r>
      <w:r w:rsidR="00E6368C" w:rsidRPr="00E07E3D">
        <w:rPr>
          <w:sz w:val="32"/>
          <w:szCs w:val="28"/>
        </w:rPr>
        <w:t>Technical Notes</w:t>
      </w:r>
    </w:p>
    <w:p w14:paraId="603DF35F" w14:textId="77777777" w:rsidR="00805CA2" w:rsidRPr="005512AA" w:rsidRDefault="00805CA2" w:rsidP="00805CA2">
      <w:pPr>
        <w:jc w:val="center"/>
        <w:rPr>
          <w:rFonts w:ascii="Trebuchet MS" w:hAnsi="Trebuchet MS"/>
        </w:rPr>
      </w:pPr>
    </w:p>
    <w:p w14:paraId="43AE6239" w14:textId="77777777"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 xml:space="preserve">Operating under a Cooperative Agreement with the U.S. Department of Labor, Bureau of Labor Statistics (BLS), the Occupational Employment and Wage Statistics (OEWS) program in Kentucky conducts a semi-annual survey of employers to collect employment and wage rates by occupation for wage and salary workers in non-farm establishments. The resulting data are used to generate annual occupational employment and wage estimates for the state and sub-state areas. </w:t>
      </w:r>
    </w:p>
    <w:p w14:paraId="13FAEEF7" w14:textId="77777777" w:rsidR="000D390A" w:rsidRPr="000D390A" w:rsidRDefault="000D390A" w:rsidP="000D390A">
      <w:pPr>
        <w:spacing w:after="0" w:line="240" w:lineRule="auto"/>
        <w:rPr>
          <w:rFonts w:ascii="Trebuchet MS" w:eastAsia="Times New Roman" w:hAnsi="Trebuchet MS" w:cs="Arial"/>
          <w:color w:val="000000"/>
        </w:rPr>
      </w:pPr>
    </w:p>
    <w:p w14:paraId="1CAE2D6F" w14:textId="77777777"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 xml:space="preserve">The OEWS survey is funded through BLS, which provides detailed program procedures and technical support, while the state collects the bulk of the data from employers. Data are collected during two panels each year, one in May and one in November. The resulting estimates are based on data collected in six consecutive panels over a three-year period. </w:t>
      </w:r>
    </w:p>
    <w:p w14:paraId="4179763E" w14:textId="77777777" w:rsidR="000D390A" w:rsidRPr="000D390A" w:rsidRDefault="000D390A" w:rsidP="000D390A">
      <w:pPr>
        <w:spacing w:after="0" w:line="240" w:lineRule="auto"/>
        <w:rPr>
          <w:rFonts w:ascii="Trebuchet MS" w:eastAsia="Times New Roman" w:hAnsi="Trebuchet MS" w:cs="Arial"/>
          <w:color w:val="000000"/>
        </w:rPr>
      </w:pPr>
    </w:p>
    <w:p w14:paraId="6BBA1013" w14:textId="2E5EC107"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 xml:space="preserve">The estimates released in </w:t>
      </w:r>
      <w:r w:rsidR="009A4BAF">
        <w:rPr>
          <w:rFonts w:ascii="Trebuchet MS" w:eastAsia="Times New Roman" w:hAnsi="Trebuchet MS" w:cs="Arial"/>
          <w:color w:val="000000"/>
        </w:rPr>
        <w:t>2025</w:t>
      </w:r>
      <w:r w:rsidRPr="000D390A">
        <w:rPr>
          <w:rFonts w:ascii="Trebuchet MS" w:eastAsia="Times New Roman" w:hAnsi="Trebuchet MS" w:cs="Arial"/>
          <w:color w:val="000000"/>
        </w:rPr>
        <w:t xml:space="preserve"> (also referred to as May </w:t>
      </w:r>
      <w:r w:rsidR="009A4BAF">
        <w:rPr>
          <w:rFonts w:ascii="Trebuchet MS" w:eastAsia="Times New Roman" w:hAnsi="Trebuchet MS" w:cs="Arial"/>
          <w:color w:val="000000"/>
        </w:rPr>
        <w:t>2024</w:t>
      </w:r>
      <w:r w:rsidRPr="000D390A">
        <w:rPr>
          <w:rFonts w:ascii="Trebuchet MS" w:eastAsia="Times New Roman" w:hAnsi="Trebuchet MS" w:cs="Arial"/>
          <w:color w:val="000000"/>
        </w:rPr>
        <w:t xml:space="preserve"> estimates), were generated from data collected from the panels referencing November </w:t>
      </w:r>
      <w:r w:rsidR="009A4BAF">
        <w:rPr>
          <w:rFonts w:ascii="Trebuchet MS" w:eastAsia="Times New Roman" w:hAnsi="Trebuchet MS" w:cs="Arial"/>
          <w:color w:val="000000"/>
        </w:rPr>
        <w:t>2021</w:t>
      </w:r>
      <w:r w:rsidRPr="000D390A">
        <w:rPr>
          <w:rFonts w:ascii="Trebuchet MS" w:eastAsia="Times New Roman" w:hAnsi="Trebuchet MS" w:cs="Arial"/>
          <w:color w:val="000000"/>
        </w:rPr>
        <w:t xml:space="preserve"> to May </w:t>
      </w:r>
      <w:r w:rsidR="009A4BAF">
        <w:rPr>
          <w:rFonts w:ascii="Trebuchet MS" w:eastAsia="Times New Roman" w:hAnsi="Trebuchet MS" w:cs="Arial"/>
          <w:color w:val="000000"/>
        </w:rPr>
        <w:t>2024</w:t>
      </w:r>
      <w:r w:rsidRPr="000D390A">
        <w:rPr>
          <w:rFonts w:ascii="Trebuchet MS" w:eastAsia="Times New Roman" w:hAnsi="Trebuchet MS" w:cs="Arial"/>
          <w:color w:val="000000"/>
        </w:rPr>
        <w:t xml:space="preserve">. BLS produces occupational employment and wage estimates for the nation, states, Metropolitan Statistical Areas (MSA), and balance-of-state areas. To further meet the needs of local data users, </w:t>
      </w:r>
      <w:r w:rsidR="00F833A2">
        <w:rPr>
          <w:rFonts w:ascii="Trebuchet MS" w:eastAsia="Times New Roman" w:hAnsi="Trebuchet MS" w:cs="Arial"/>
          <w:color w:val="000000"/>
        </w:rPr>
        <w:t xml:space="preserve">the </w:t>
      </w:r>
      <w:r w:rsidRPr="000D390A">
        <w:rPr>
          <w:rFonts w:ascii="Trebuchet MS" w:eastAsia="Times New Roman" w:hAnsi="Trebuchet MS" w:cs="Arial"/>
          <w:color w:val="000000"/>
        </w:rPr>
        <w:t>Kentucky Center for Statistics (KYSTATS) utilizes OEWS data and BLS methodology to calculate sub-state level estimates for the ten Local Workforce Areas (LWAs).</w:t>
      </w:r>
    </w:p>
    <w:p w14:paraId="5C07922D" w14:textId="77777777" w:rsidR="000D390A" w:rsidRPr="000D390A" w:rsidRDefault="000D390A" w:rsidP="000D390A">
      <w:pPr>
        <w:spacing w:after="0" w:line="240" w:lineRule="auto"/>
        <w:rPr>
          <w:rFonts w:ascii="Trebuchet MS" w:eastAsia="Times New Roman" w:hAnsi="Trebuchet MS" w:cs="Arial"/>
          <w:color w:val="000000"/>
        </w:rPr>
      </w:pPr>
    </w:p>
    <w:p w14:paraId="297FAA21" w14:textId="77777777"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 xml:space="preserve">OEWS does not produce occupational wage projections, benefits </w:t>
      </w:r>
      <w:proofErr w:type="gramStart"/>
      <w:r w:rsidRPr="000D390A">
        <w:rPr>
          <w:rFonts w:ascii="Trebuchet MS" w:eastAsia="Times New Roman" w:hAnsi="Trebuchet MS" w:cs="Arial"/>
          <w:color w:val="000000"/>
        </w:rPr>
        <w:t>estimates</w:t>
      </w:r>
      <w:proofErr w:type="gramEnd"/>
      <w:r w:rsidRPr="000D390A">
        <w:rPr>
          <w:rFonts w:ascii="Trebuchet MS" w:eastAsia="Times New Roman" w:hAnsi="Trebuchet MS" w:cs="Arial"/>
          <w:color w:val="000000"/>
        </w:rPr>
        <w:t>, estimates of unemployment by occupation, or occupational estimates by demographic characteristics.</w:t>
      </w:r>
    </w:p>
    <w:p w14:paraId="21AE8F67" w14:textId="77777777" w:rsidR="000D390A" w:rsidRPr="000D390A" w:rsidRDefault="000D390A" w:rsidP="000D390A">
      <w:pPr>
        <w:spacing w:after="0" w:line="240" w:lineRule="auto"/>
        <w:rPr>
          <w:rFonts w:ascii="Trebuchet MS" w:eastAsia="Times New Roman" w:hAnsi="Trebuchet MS" w:cs="Arial"/>
          <w:color w:val="000000"/>
        </w:rPr>
      </w:pPr>
    </w:p>
    <w:p w14:paraId="40C02CF9" w14:textId="25409326"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The OEWS survey is designed to create detailed, cross-sectional, employment and wage estimates, providing a “snapshot” of occupational employment and wages for a particular area and time. Estimates are not intended to be used as a time series. Challenges in using occupational estimates as a time series include changes in occupational, industry, and geographical classification systems; changes in data collection methodology and procedures; changes in the survey reference periods; changes in mean wage estimation methodology; and other features of the OEWS methodology.</w:t>
      </w:r>
    </w:p>
    <w:p w14:paraId="278A1C08" w14:textId="77777777" w:rsidR="000D390A" w:rsidRPr="000D390A" w:rsidRDefault="000D390A" w:rsidP="000D390A">
      <w:pPr>
        <w:spacing w:after="0" w:line="240" w:lineRule="auto"/>
        <w:rPr>
          <w:rFonts w:ascii="Trebuchet MS" w:eastAsia="Times New Roman" w:hAnsi="Trebuchet MS" w:cs="Arial"/>
          <w:color w:val="000000"/>
        </w:rPr>
      </w:pPr>
    </w:p>
    <w:p w14:paraId="786234FF" w14:textId="041FF0F4"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 xml:space="preserve">In addition, users of the </w:t>
      </w:r>
      <w:r w:rsidR="009A4BAF">
        <w:rPr>
          <w:rFonts w:ascii="Trebuchet MS" w:eastAsia="Times New Roman" w:hAnsi="Trebuchet MS" w:cs="Arial"/>
          <w:color w:val="000000"/>
        </w:rPr>
        <w:t>2025</w:t>
      </w:r>
      <w:r w:rsidRPr="000D390A">
        <w:rPr>
          <w:rFonts w:ascii="Trebuchet MS" w:eastAsia="Times New Roman" w:hAnsi="Trebuchet MS" w:cs="Arial"/>
          <w:color w:val="000000"/>
        </w:rPr>
        <w:t xml:space="preserve"> Kentucky and Local Workforce Area Employment and Wage Estimates may encounter differences in the number of occupations for which estimates are available. Such variations may be due to </w:t>
      </w:r>
      <w:proofErr w:type="gramStart"/>
      <w:r w:rsidRPr="000D390A">
        <w:rPr>
          <w:rFonts w:ascii="Trebuchet MS" w:eastAsia="Times New Roman" w:hAnsi="Trebuchet MS" w:cs="Arial"/>
          <w:color w:val="000000"/>
        </w:rPr>
        <w:t xml:space="preserve">a </w:t>
      </w:r>
      <w:r w:rsidR="00077E32" w:rsidRPr="000D390A">
        <w:rPr>
          <w:rFonts w:ascii="Trebuchet MS" w:eastAsia="Times New Roman" w:hAnsi="Trebuchet MS" w:cs="Arial"/>
          <w:color w:val="000000"/>
        </w:rPr>
        <w:t>number</w:t>
      </w:r>
      <w:r w:rsidRPr="000D390A">
        <w:rPr>
          <w:rFonts w:ascii="Trebuchet MS" w:eastAsia="Times New Roman" w:hAnsi="Trebuchet MS" w:cs="Arial"/>
          <w:color w:val="000000"/>
        </w:rPr>
        <w:t xml:space="preserve"> of</w:t>
      </w:r>
      <w:proofErr w:type="gramEnd"/>
      <w:r w:rsidRPr="000D390A">
        <w:rPr>
          <w:rFonts w:ascii="Trebuchet MS" w:eastAsia="Times New Roman" w:hAnsi="Trebuchet MS" w:cs="Arial"/>
          <w:color w:val="000000"/>
        </w:rPr>
        <w:t xml:space="preserve"> factors: the occupation may not be common in the area; the occupation may have failed to pass confidentiality guidelines; the primary employers of an occupation may not have been in the </w:t>
      </w:r>
      <w:r w:rsidR="0000758E" w:rsidRPr="000D390A">
        <w:rPr>
          <w:rFonts w:ascii="Trebuchet MS" w:eastAsia="Times New Roman" w:hAnsi="Trebuchet MS" w:cs="Arial"/>
          <w:color w:val="000000"/>
        </w:rPr>
        <w:t>sample or</w:t>
      </w:r>
      <w:r w:rsidRPr="000D390A">
        <w:rPr>
          <w:rFonts w:ascii="Trebuchet MS" w:eastAsia="Times New Roman" w:hAnsi="Trebuchet MS" w:cs="Arial"/>
          <w:color w:val="000000"/>
        </w:rPr>
        <w:t xml:space="preserve"> failed to respond to the survey; or the occupation may not have passed statistical reliability criteria. </w:t>
      </w:r>
    </w:p>
    <w:p w14:paraId="6A980F86" w14:textId="77777777" w:rsidR="000D390A" w:rsidRPr="000D390A" w:rsidRDefault="000D390A" w:rsidP="000D390A">
      <w:pPr>
        <w:spacing w:after="0" w:line="240" w:lineRule="auto"/>
        <w:rPr>
          <w:rFonts w:ascii="Trebuchet MS" w:eastAsia="Times New Roman" w:hAnsi="Trebuchet MS" w:cs="Arial"/>
          <w:color w:val="000000"/>
        </w:rPr>
      </w:pPr>
    </w:p>
    <w:p w14:paraId="66986F4E" w14:textId="39A61B1A"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Users should also note that, although most occupations have estimates of both hourly and annual wages, some occupations, such as teachers, pilots, and flight attendants, only report annual wages due to variations in the number of hours worked for these occupations. Similarly, occupations that generally work less than 40 hours per week (e.g.</w:t>
      </w:r>
      <w:r w:rsidR="0000758E">
        <w:rPr>
          <w:rFonts w:ascii="Trebuchet MS" w:eastAsia="Times New Roman" w:hAnsi="Trebuchet MS" w:cs="Arial"/>
          <w:color w:val="000000"/>
        </w:rPr>
        <w:t>,</w:t>
      </w:r>
      <w:r w:rsidRPr="000D390A">
        <w:rPr>
          <w:rFonts w:ascii="Trebuchet MS" w:eastAsia="Times New Roman" w:hAnsi="Trebuchet MS" w:cs="Arial"/>
          <w:color w:val="000000"/>
        </w:rPr>
        <w:t xml:space="preserve"> some entertainment workers)</w:t>
      </w:r>
      <w:r w:rsidR="004425CD">
        <w:rPr>
          <w:rFonts w:ascii="Trebuchet MS" w:eastAsia="Times New Roman" w:hAnsi="Trebuchet MS" w:cs="Arial"/>
          <w:color w:val="000000"/>
        </w:rPr>
        <w:t>,</w:t>
      </w:r>
      <w:r w:rsidRPr="000D390A">
        <w:rPr>
          <w:rFonts w:ascii="Trebuchet MS" w:eastAsia="Times New Roman" w:hAnsi="Trebuchet MS" w:cs="Arial"/>
          <w:color w:val="000000"/>
        </w:rPr>
        <w:t xml:space="preserve"> report only hourly wages.</w:t>
      </w:r>
    </w:p>
    <w:p w14:paraId="00F2E532" w14:textId="77777777" w:rsidR="000D390A" w:rsidRPr="000D390A" w:rsidRDefault="000D390A" w:rsidP="000D390A">
      <w:pPr>
        <w:spacing w:after="0" w:line="240" w:lineRule="auto"/>
        <w:rPr>
          <w:rFonts w:ascii="Trebuchet MS" w:eastAsia="Times New Roman" w:hAnsi="Trebuchet MS" w:cs="Arial"/>
          <w:color w:val="000000"/>
        </w:rPr>
      </w:pPr>
    </w:p>
    <w:p w14:paraId="014F6B30" w14:textId="6BD0D2B3" w:rsidR="000D390A" w:rsidRPr="000D390A" w:rsidRDefault="000D390A" w:rsidP="0062006E">
      <w:pPr>
        <w:pStyle w:val="Heading2"/>
        <w:rPr>
          <w:rFonts w:eastAsia="Times New Roman"/>
        </w:rPr>
      </w:pPr>
      <w:r w:rsidRPr="000D390A">
        <w:rPr>
          <w:rFonts w:eastAsia="Times New Roman"/>
        </w:rPr>
        <w:lastRenderedPageBreak/>
        <w:t>Occupational Classification</w:t>
      </w:r>
    </w:p>
    <w:p w14:paraId="5ECFB082" w14:textId="4635D496"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 xml:space="preserve">The OEWS survey categorizes workers into </w:t>
      </w:r>
      <w:r w:rsidR="00C351B2">
        <w:rPr>
          <w:rFonts w:ascii="Trebuchet MS" w:eastAsia="Times New Roman" w:hAnsi="Trebuchet MS" w:cs="Arial"/>
          <w:color w:val="000000"/>
        </w:rPr>
        <w:t>approximately</w:t>
      </w:r>
      <w:r w:rsidRPr="000D390A">
        <w:rPr>
          <w:rFonts w:ascii="Trebuchet MS" w:eastAsia="Times New Roman" w:hAnsi="Trebuchet MS" w:cs="Arial"/>
          <w:color w:val="000000"/>
        </w:rPr>
        <w:t xml:space="preserve"> 800 detailed occupations based on the Office of Management and Budget’s (OMB) Standard Occupational Classification (SOC) System. These detailed occupations encompass 22 of the 23 major occupational groups as defined by OMB. Major Occupational Group 55 (Military Specific Occupations) is not included. Detailed information on the SOC system is available at </w:t>
      </w:r>
      <w:hyperlink r:id="rId10" w:history="1">
        <w:r w:rsidRPr="005512AA">
          <w:rPr>
            <w:rFonts w:ascii="Trebuchet MS" w:eastAsia="Times New Roman" w:hAnsi="Trebuchet MS" w:cs="Arial"/>
            <w:color w:val="0000FF"/>
            <w:u w:val="single"/>
          </w:rPr>
          <w:t>https://www.bls.gov/soc/</w:t>
        </w:r>
      </w:hyperlink>
      <w:r w:rsidRPr="000D390A">
        <w:rPr>
          <w:rFonts w:ascii="Trebuchet MS" w:eastAsia="Times New Roman" w:hAnsi="Trebuchet MS" w:cs="Arial"/>
          <w:color w:val="000000"/>
        </w:rPr>
        <w:t>.</w:t>
      </w:r>
    </w:p>
    <w:p w14:paraId="60B346AC" w14:textId="77777777" w:rsidR="000D390A" w:rsidRPr="000D390A" w:rsidRDefault="000D390A" w:rsidP="000D390A">
      <w:pPr>
        <w:spacing w:after="0" w:line="240" w:lineRule="auto"/>
        <w:rPr>
          <w:rFonts w:ascii="Trebuchet MS" w:eastAsia="Times New Roman" w:hAnsi="Trebuchet MS" w:cs="Arial"/>
          <w:color w:val="000000"/>
        </w:rPr>
      </w:pPr>
    </w:p>
    <w:p w14:paraId="58AB251A" w14:textId="466607AA" w:rsidR="000D390A" w:rsidRPr="000D390A" w:rsidRDefault="000D390A" w:rsidP="0062006E">
      <w:pPr>
        <w:pStyle w:val="Heading2"/>
        <w:rPr>
          <w:rFonts w:eastAsia="Times New Roman"/>
        </w:rPr>
      </w:pPr>
      <w:r w:rsidRPr="000D390A">
        <w:rPr>
          <w:rFonts w:eastAsia="Times New Roman"/>
        </w:rPr>
        <w:t>2018 SOC</w:t>
      </w:r>
      <w:r w:rsidR="0094326B">
        <w:rPr>
          <w:rFonts w:eastAsia="Times New Roman"/>
        </w:rPr>
        <w:t xml:space="preserve"> System and OEWS Specific Aggregations</w:t>
      </w:r>
    </w:p>
    <w:p w14:paraId="6A2014CE" w14:textId="586B7816" w:rsidR="0094326B" w:rsidRDefault="00077E32" w:rsidP="000D390A">
      <w:pPr>
        <w:spacing w:after="0" w:line="240" w:lineRule="auto"/>
        <w:rPr>
          <w:rFonts w:ascii="Trebuchet MS" w:eastAsia="Times New Roman" w:hAnsi="Trebuchet MS" w:cs="Arial"/>
          <w:color w:val="000000"/>
        </w:rPr>
      </w:pPr>
      <w:r>
        <w:rPr>
          <w:rFonts w:ascii="Trebuchet MS" w:eastAsia="Times New Roman" w:hAnsi="Trebuchet MS" w:cs="Arial"/>
          <w:color w:val="000000"/>
        </w:rPr>
        <w:t>T</w:t>
      </w:r>
      <w:r w:rsidR="00F216FF" w:rsidRPr="000D390A">
        <w:rPr>
          <w:rFonts w:ascii="Trebuchet MS" w:eastAsia="Times New Roman" w:hAnsi="Trebuchet MS" w:cs="Arial"/>
          <w:color w:val="000000"/>
        </w:rPr>
        <w:t xml:space="preserve">he estimates published </w:t>
      </w:r>
      <w:r w:rsidR="00182DBB">
        <w:rPr>
          <w:rFonts w:ascii="Trebuchet MS" w:eastAsia="Times New Roman" w:hAnsi="Trebuchet MS" w:cs="Arial"/>
          <w:color w:val="000000"/>
        </w:rPr>
        <w:t xml:space="preserve">in </w:t>
      </w:r>
      <w:r w:rsidR="009A4BAF">
        <w:rPr>
          <w:rFonts w:ascii="Trebuchet MS" w:eastAsia="Times New Roman" w:hAnsi="Trebuchet MS" w:cs="Arial"/>
          <w:color w:val="000000"/>
        </w:rPr>
        <w:t>2025</w:t>
      </w:r>
      <w:r w:rsidR="00182DBB">
        <w:rPr>
          <w:rFonts w:ascii="Trebuchet MS" w:eastAsia="Times New Roman" w:hAnsi="Trebuchet MS" w:cs="Arial"/>
          <w:color w:val="000000"/>
        </w:rPr>
        <w:t xml:space="preserve"> </w:t>
      </w:r>
      <w:r w:rsidR="00F216FF">
        <w:rPr>
          <w:rFonts w:ascii="Trebuchet MS" w:eastAsia="Times New Roman" w:hAnsi="Trebuchet MS" w:cs="Arial"/>
          <w:color w:val="000000"/>
        </w:rPr>
        <w:t>are</w:t>
      </w:r>
      <w:r w:rsidR="00F216FF" w:rsidRPr="000D390A">
        <w:rPr>
          <w:rFonts w:ascii="Trebuchet MS" w:eastAsia="Times New Roman" w:hAnsi="Trebuchet MS" w:cs="Arial"/>
          <w:color w:val="000000"/>
        </w:rPr>
        <w:t xml:space="preserve"> based on the 2018 SOC. </w:t>
      </w:r>
      <w:r w:rsidR="0094326B">
        <w:rPr>
          <w:rFonts w:ascii="Trebuchet MS" w:eastAsia="Times New Roman" w:hAnsi="Trebuchet MS" w:cs="Arial"/>
          <w:color w:val="000000"/>
        </w:rPr>
        <w:t xml:space="preserve">Although OEWS utilizes the 2018 SOC for estimation purposes, the program also aggregates select 6-digit occupations into broad group (5-digit) codes or into special OEWS aggregates. In total, there are 28 detailed occupations consolidated into 12 OEWS aggregate codes.  </w:t>
      </w:r>
    </w:p>
    <w:p w14:paraId="350F770D" w14:textId="77777777" w:rsidR="0094326B" w:rsidRDefault="0094326B" w:rsidP="000D390A">
      <w:pPr>
        <w:spacing w:after="0" w:line="240" w:lineRule="auto"/>
        <w:rPr>
          <w:rFonts w:ascii="Trebuchet MS" w:eastAsia="Times New Roman" w:hAnsi="Trebuchet MS" w:cs="Arial"/>
          <w:color w:val="000000"/>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5"/>
        <w:gridCol w:w="8369"/>
      </w:tblGrid>
      <w:tr w:rsidR="0094326B" w:rsidRPr="00F54D41" w14:paraId="38C14A25" w14:textId="77777777" w:rsidTr="00DC3DDA">
        <w:trPr>
          <w:trHeight w:hRule="exact" w:val="432"/>
        </w:trPr>
        <w:tc>
          <w:tcPr>
            <w:tcW w:w="97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1384DDC"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13-1020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80F9483"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Buyers and Purchasing Agents (SOC broad occupation)</w:t>
            </w:r>
          </w:p>
        </w:tc>
      </w:tr>
      <w:tr w:rsidR="0094326B" w:rsidRPr="00F54D41" w14:paraId="1AE17F05"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A46499A"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58282D2"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13-1021 Buyers and Purchasing Agents, Farm Products</w:t>
            </w:r>
          </w:p>
        </w:tc>
      </w:tr>
      <w:tr w:rsidR="0094326B" w:rsidRPr="00F54D41" w14:paraId="5C16ECC2"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7D2964B"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4DC8CEB"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13-1022 Wholesale and Retail Buyers, Except Farm Products</w:t>
            </w:r>
          </w:p>
        </w:tc>
      </w:tr>
      <w:tr w:rsidR="0094326B" w:rsidRPr="00F54D41" w14:paraId="03AA2C84"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685C310"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4992EEF"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13-1023 Purchasing Agents, Except Wholesale, Retail, and Farm Products</w:t>
            </w:r>
          </w:p>
        </w:tc>
      </w:tr>
      <w:tr w:rsidR="0094326B" w:rsidRPr="00F54D41" w14:paraId="30A9E1CC"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327A8571"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13-2020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215E1073"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Property Appraisers and Assessors (SOC broad occupation)</w:t>
            </w:r>
          </w:p>
        </w:tc>
      </w:tr>
      <w:tr w:rsidR="0094326B" w:rsidRPr="00F54D41" w14:paraId="05E82D5A"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004816AC"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689A6381" w14:textId="23E2CAA3"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13</w:t>
            </w:r>
            <w:r w:rsidR="009A4BAF">
              <w:rPr>
                <w:rFonts w:ascii="Trebuchet MS" w:hAnsi="Trebuchet MS" w:cs="Tahoma"/>
                <w:color w:val="000000"/>
                <w:sz w:val="18"/>
                <w:szCs w:val="18"/>
              </w:rPr>
              <w:t>-2022</w:t>
            </w:r>
            <w:r w:rsidRPr="00106547">
              <w:rPr>
                <w:rFonts w:ascii="Trebuchet MS" w:hAnsi="Trebuchet MS" w:cs="Tahoma"/>
                <w:color w:val="000000"/>
                <w:sz w:val="18"/>
                <w:szCs w:val="18"/>
              </w:rPr>
              <w:t xml:space="preserve"> Appraisers of Personal and Business Property</w:t>
            </w:r>
          </w:p>
        </w:tc>
      </w:tr>
      <w:tr w:rsidR="0094326B" w:rsidRPr="00F54D41" w14:paraId="59BDF7CE"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37207D42"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74722337" w14:textId="4DD2C3BF"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13</w:t>
            </w:r>
            <w:r w:rsidR="009A4BAF">
              <w:rPr>
                <w:rFonts w:ascii="Trebuchet MS" w:hAnsi="Trebuchet MS" w:cs="Tahoma"/>
                <w:color w:val="000000"/>
                <w:sz w:val="18"/>
                <w:szCs w:val="18"/>
              </w:rPr>
              <w:t>-2023</w:t>
            </w:r>
            <w:r w:rsidRPr="00106547">
              <w:rPr>
                <w:rFonts w:ascii="Trebuchet MS" w:hAnsi="Trebuchet MS" w:cs="Tahoma"/>
                <w:color w:val="000000"/>
                <w:sz w:val="18"/>
                <w:szCs w:val="18"/>
              </w:rPr>
              <w:t xml:space="preserve"> Appraisers and Assessors of Real Estate</w:t>
            </w:r>
          </w:p>
        </w:tc>
      </w:tr>
      <w:tr w:rsidR="0094326B" w:rsidRPr="00F54D41" w14:paraId="18288866" w14:textId="77777777" w:rsidTr="00DC3DDA">
        <w:trPr>
          <w:trHeight w:hRule="exact" w:val="627"/>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7D8795E"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21-1018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6B4FBB0"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Substance Abuse, Behavioral Disorder, and Mental Health Counselors (OEWS-specific code and title)</w:t>
            </w:r>
          </w:p>
        </w:tc>
      </w:tr>
      <w:tr w:rsidR="0094326B" w:rsidRPr="00F54D41" w14:paraId="6EEA5EF1"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6057576"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A7829D9"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21-1011 Substance Abuse and Behavioral Disorder Counselors</w:t>
            </w:r>
          </w:p>
        </w:tc>
      </w:tr>
      <w:tr w:rsidR="0094326B" w:rsidRPr="00F54D41" w14:paraId="7B2E4186" w14:textId="77777777" w:rsidTr="00DC3DDA">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hideMark/>
          </w:tcPr>
          <w:p w14:paraId="30494028"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hideMark/>
          </w:tcPr>
          <w:p w14:paraId="052F1B12"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21-1014 Mental Health Counselors</w:t>
            </w:r>
          </w:p>
        </w:tc>
      </w:tr>
      <w:tr w:rsidR="0094326B" w:rsidRPr="00F54D41" w14:paraId="60969669" w14:textId="77777777" w:rsidTr="00DC3DDA">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3894B687"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25-2052</w:t>
            </w:r>
          </w:p>
        </w:tc>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3C2B34D5"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Special Education Teachers, Kindergarten and Elementary School (OEWS-specific code and title)</w:t>
            </w:r>
          </w:p>
        </w:tc>
      </w:tr>
      <w:tr w:rsidR="0094326B" w:rsidRPr="00F54D41" w14:paraId="4AA7A6CD" w14:textId="77777777" w:rsidTr="00DC3DDA">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0C151B7B"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20CBEF4A"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25-2055 Special Education Teachers, Kindergarten</w:t>
            </w:r>
          </w:p>
        </w:tc>
      </w:tr>
      <w:tr w:rsidR="0094326B" w:rsidRPr="00F54D41" w14:paraId="60C6A7F2" w14:textId="77777777" w:rsidTr="00DC3DDA">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1CB6D3CD"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2CE82455"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25-2056 Special Education Teachers, Elementary School</w:t>
            </w:r>
          </w:p>
        </w:tc>
      </w:tr>
      <w:tr w:rsidR="0094326B" w:rsidRPr="00F54D41" w14:paraId="4B0EB9B1" w14:textId="77777777" w:rsidTr="00DC3DDA">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4025CB4D"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25-9045</w:t>
            </w:r>
          </w:p>
        </w:tc>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04F52164"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Teaching Assistants, Except Postsecondary (OEWS-specific code and title)</w:t>
            </w:r>
          </w:p>
        </w:tc>
      </w:tr>
      <w:tr w:rsidR="0094326B" w:rsidRPr="00F54D41" w14:paraId="11876E81" w14:textId="77777777" w:rsidTr="00DC3DDA">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0EF69644"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24EF75D0"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25-9042 Teaching Assistant, Preschool, Elementary, Middle and secondary, Except Special Education</w:t>
            </w:r>
          </w:p>
        </w:tc>
      </w:tr>
      <w:tr w:rsidR="0094326B" w:rsidRPr="00F54D41" w14:paraId="0DA062EF" w14:textId="77777777" w:rsidTr="00DC3DDA">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13A6F859"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07922BA1"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25-9043 Teaching Assistants, Special Education</w:t>
            </w:r>
          </w:p>
        </w:tc>
      </w:tr>
      <w:tr w:rsidR="0094326B" w:rsidRPr="00F54D41" w14:paraId="07EA6709" w14:textId="77777777" w:rsidTr="00DC3DDA">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5D001B14"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single" w:sz="6" w:space="0" w:color="auto"/>
              <w:right w:val="outset" w:sz="6" w:space="0" w:color="auto"/>
            </w:tcBorders>
            <w:shd w:val="clear" w:color="auto" w:fill="FFFFFF"/>
            <w:tcMar>
              <w:top w:w="45" w:type="dxa"/>
              <w:left w:w="45" w:type="dxa"/>
              <w:bottom w:w="45" w:type="dxa"/>
              <w:right w:w="45" w:type="dxa"/>
            </w:tcMar>
            <w:vAlign w:val="center"/>
          </w:tcPr>
          <w:p w14:paraId="681BA734"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25-9049 Teaching Assistants, All Other</w:t>
            </w:r>
          </w:p>
        </w:tc>
      </w:tr>
      <w:tr w:rsidR="0094326B" w:rsidRPr="00F54D41" w14:paraId="08E15151" w14:textId="77777777" w:rsidTr="00DC3DDA">
        <w:trPr>
          <w:trHeight w:hRule="exact" w:val="432"/>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67F8263" w14:textId="352E848E"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29-2010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4B9D9B2"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Clinical Laboratory Technologists and Technicians (SOC broad occupation)</w:t>
            </w:r>
          </w:p>
        </w:tc>
      </w:tr>
      <w:tr w:rsidR="0094326B" w:rsidRPr="00F54D41" w14:paraId="48D9318B"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6F94720"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42A6107"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29-2011 Medical and Clinical Laboratory Technologists</w:t>
            </w:r>
          </w:p>
        </w:tc>
      </w:tr>
      <w:tr w:rsidR="0094326B" w:rsidRPr="00F54D41" w14:paraId="172CB2D7"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F4E7FD5"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18ADC28"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29-2012 Medical and Clinical Laboratory Technicians</w:t>
            </w:r>
          </w:p>
        </w:tc>
      </w:tr>
      <w:tr w:rsidR="0094326B" w:rsidRPr="00F54D41" w14:paraId="0E02FA03"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28D5A073"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31-1120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2679140D"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Home Health and Personal Care Aides (SOC broad occupation)</w:t>
            </w:r>
          </w:p>
        </w:tc>
      </w:tr>
      <w:tr w:rsidR="0094326B" w:rsidRPr="00F54D41" w14:paraId="0722C162"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233DFCEA"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1C1C5CD9"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31-1121 Home Health Aides</w:t>
            </w:r>
          </w:p>
        </w:tc>
      </w:tr>
      <w:tr w:rsidR="0094326B" w:rsidRPr="00F54D41" w14:paraId="2AFEB7D1"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5B618A31"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47FF5F7A"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31-1122 Personal Care Aides</w:t>
            </w:r>
          </w:p>
        </w:tc>
      </w:tr>
      <w:tr w:rsidR="0094326B" w:rsidRPr="00F54D41" w14:paraId="60337FE3" w14:textId="77777777" w:rsidTr="00DC3DDA">
        <w:trPr>
          <w:trHeight w:hRule="exact" w:val="432"/>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8DEA75E"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39-7010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0C77DD7"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Tour and Travel Guides (SOC broad occupation)</w:t>
            </w:r>
          </w:p>
        </w:tc>
      </w:tr>
      <w:tr w:rsidR="0094326B" w:rsidRPr="00F54D41" w14:paraId="765E5FB5"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2BE1F0D"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2BA0BAA"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39-7011 Tour Guides and Escorts</w:t>
            </w:r>
          </w:p>
        </w:tc>
      </w:tr>
      <w:tr w:rsidR="0094326B" w:rsidRPr="00F54D41" w14:paraId="57D513F1"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D8A92A0"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827BEF1"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39-7012 Travel Guides</w:t>
            </w:r>
          </w:p>
        </w:tc>
      </w:tr>
      <w:tr w:rsidR="0094326B" w:rsidRPr="00F54D41" w14:paraId="5D729B96" w14:textId="77777777" w:rsidTr="00DC3DDA">
        <w:trPr>
          <w:trHeight w:hRule="exact" w:val="432"/>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46AF013"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47-4090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588D57B"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Miscellaneous Construction and Related workers (SOC broad occupation)</w:t>
            </w:r>
          </w:p>
        </w:tc>
      </w:tr>
      <w:tr w:rsidR="0094326B" w:rsidRPr="00F54D41" w14:paraId="59DAF580"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0C7A369"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5D4A56C"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47-4091 Segmental Pavers</w:t>
            </w:r>
          </w:p>
        </w:tc>
      </w:tr>
      <w:tr w:rsidR="0094326B" w:rsidRPr="00F54D41" w14:paraId="634CD99A"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0092477"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9C8B176"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47-4099 Construction and Related workers, All Other</w:t>
            </w:r>
          </w:p>
        </w:tc>
      </w:tr>
      <w:tr w:rsidR="0094326B" w:rsidRPr="000B5761" w14:paraId="19521AAF" w14:textId="77777777" w:rsidTr="00DC3DDA">
        <w:trPr>
          <w:trHeight w:hRule="exact" w:val="720"/>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644CBB4"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51-2028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8477B4D"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Electrical, Electronic, and Electromechanical Assemblers, Except Coil Winders, Tapers, and Finishers (OEWS-specific code and title)</w:t>
            </w:r>
          </w:p>
        </w:tc>
      </w:tr>
      <w:tr w:rsidR="0094326B" w:rsidRPr="00F54D41" w14:paraId="0F36FF1B"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DD659A7"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33A50B5" w14:textId="29AC56D2"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51-</w:t>
            </w:r>
            <w:r w:rsidR="009A4BAF">
              <w:rPr>
                <w:rFonts w:ascii="Trebuchet MS" w:hAnsi="Trebuchet MS" w:cs="Tahoma"/>
                <w:color w:val="000000"/>
                <w:sz w:val="18"/>
                <w:szCs w:val="18"/>
              </w:rPr>
              <w:t>2022</w:t>
            </w:r>
            <w:r w:rsidRPr="00106547">
              <w:rPr>
                <w:rFonts w:ascii="Trebuchet MS" w:hAnsi="Trebuchet MS" w:cs="Tahoma"/>
                <w:color w:val="000000"/>
                <w:sz w:val="18"/>
                <w:szCs w:val="18"/>
              </w:rPr>
              <w:t xml:space="preserve"> Electrical and Electronic Equipment Assemblers</w:t>
            </w:r>
          </w:p>
        </w:tc>
      </w:tr>
      <w:tr w:rsidR="0094326B" w:rsidRPr="00F54D41" w14:paraId="5C4B4F2E"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4BE56FFF"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3C066486" w14:textId="538B875C"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51-</w:t>
            </w:r>
            <w:r w:rsidR="009A4BAF">
              <w:rPr>
                <w:rFonts w:ascii="Trebuchet MS" w:hAnsi="Trebuchet MS" w:cs="Tahoma"/>
                <w:color w:val="000000"/>
                <w:sz w:val="18"/>
                <w:szCs w:val="18"/>
              </w:rPr>
              <w:t>2023</w:t>
            </w:r>
            <w:r w:rsidRPr="00106547">
              <w:rPr>
                <w:rFonts w:ascii="Trebuchet MS" w:hAnsi="Trebuchet MS" w:cs="Tahoma"/>
                <w:color w:val="000000"/>
                <w:sz w:val="18"/>
                <w:szCs w:val="18"/>
              </w:rPr>
              <w:t xml:space="preserve"> Electromechanical Equipment Assemblers</w:t>
            </w:r>
          </w:p>
        </w:tc>
      </w:tr>
      <w:tr w:rsidR="0094326B" w:rsidRPr="00F54D41" w14:paraId="2C9D6278" w14:textId="77777777" w:rsidTr="00DC3DDA">
        <w:trPr>
          <w:trHeight w:hRule="exact" w:val="528"/>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0298422"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51-2090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3BEDFD2"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Miscellaneous Assemblers and Fabricators (SOC broad occupation)</w:t>
            </w:r>
          </w:p>
        </w:tc>
      </w:tr>
      <w:tr w:rsidR="0094326B" w:rsidRPr="00F54D41" w14:paraId="21047157"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CD74DA4"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ACA6152"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51-2092 Team Assemblers</w:t>
            </w:r>
          </w:p>
        </w:tc>
      </w:tr>
      <w:tr w:rsidR="0094326B" w:rsidRPr="00F54D41" w14:paraId="76EDC3F5"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27CD552"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A1085E7"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51-2099 Assemblers and Fabricators, All Other</w:t>
            </w:r>
          </w:p>
        </w:tc>
      </w:tr>
      <w:tr w:rsidR="0094326B" w:rsidRPr="00F54D41" w14:paraId="2A816A28" w14:textId="77777777" w:rsidTr="00DC3DDA">
        <w:trPr>
          <w:trHeight w:hRule="exact" w:val="720"/>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A83946E"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53-1047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4E1EE57" w14:textId="77777777" w:rsidR="0094326B" w:rsidRPr="00106547" w:rsidRDefault="0094326B" w:rsidP="00DC3DDA">
            <w:pPr>
              <w:spacing w:line="240" w:lineRule="atLeast"/>
              <w:rPr>
                <w:rFonts w:ascii="Trebuchet MS" w:hAnsi="Trebuchet MS" w:cs="Tahoma"/>
                <w:b/>
                <w:bCs/>
                <w:color w:val="000000"/>
                <w:sz w:val="18"/>
                <w:szCs w:val="18"/>
              </w:rPr>
            </w:pPr>
            <w:r w:rsidRPr="00106547">
              <w:rPr>
                <w:rFonts w:ascii="Trebuchet MS" w:hAnsi="Trebuchet MS" w:cs="Tahoma"/>
                <w:b/>
                <w:bCs/>
                <w:color w:val="000000"/>
                <w:sz w:val="18"/>
                <w:szCs w:val="18"/>
              </w:rPr>
              <w:t>First-Line Supervisors of Transportation and Material Moving Workers, Except Aircraft Cargo Handling Supervisors (OEWS-specific code and title)</w:t>
            </w:r>
          </w:p>
        </w:tc>
      </w:tr>
      <w:tr w:rsidR="0094326B" w:rsidRPr="00F54D41" w14:paraId="2904E80C"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1D23F3F"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9D12F00"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53-1042 First-Line Supervisors of Helpers, Laborers, and Material Movers, Hand</w:t>
            </w:r>
          </w:p>
        </w:tc>
      </w:tr>
      <w:tr w:rsidR="0094326B" w:rsidRPr="00F54D41" w14:paraId="726EC6D2"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C46CE0E"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35BC3AF"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53-1043 First-Line Supervisors of Material-Moving Machine and Vehicle Operators</w:t>
            </w:r>
          </w:p>
        </w:tc>
      </w:tr>
      <w:tr w:rsidR="0094326B" w:rsidRPr="00F54D41" w14:paraId="4842AF3A"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1ECE539D"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6C6A621C"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53-1044 First-Line Supervisors of Passenger Attendants</w:t>
            </w:r>
          </w:p>
        </w:tc>
      </w:tr>
      <w:tr w:rsidR="0094326B" w:rsidRPr="00F54D41" w14:paraId="3BDD2E62" w14:textId="77777777" w:rsidTr="00DC3DDA">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41492301" w14:textId="77777777" w:rsidR="0094326B" w:rsidRPr="00106547" w:rsidRDefault="0094326B" w:rsidP="00DC3DDA">
            <w:pPr>
              <w:spacing w:line="240" w:lineRule="atLeast"/>
              <w:rPr>
                <w:rFonts w:ascii="Trebuchet MS" w:hAnsi="Trebuchet MS"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tcPr>
          <w:p w14:paraId="2DD0BC86" w14:textId="77777777" w:rsidR="0094326B" w:rsidRPr="00106547" w:rsidRDefault="0094326B" w:rsidP="00DC3DDA">
            <w:pPr>
              <w:spacing w:line="240" w:lineRule="atLeast"/>
              <w:rPr>
                <w:rFonts w:ascii="Trebuchet MS" w:hAnsi="Trebuchet MS" w:cs="Tahoma"/>
                <w:color w:val="000000"/>
                <w:sz w:val="18"/>
                <w:szCs w:val="18"/>
              </w:rPr>
            </w:pPr>
            <w:r w:rsidRPr="00106547">
              <w:rPr>
                <w:rFonts w:ascii="Trebuchet MS" w:hAnsi="Trebuchet MS" w:cs="Tahoma"/>
                <w:color w:val="000000"/>
                <w:sz w:val="18"/>
                <w:szCs w:val="18"/>
              </w:rPr>
              <w:t>53-1049 First</w:t>
            </w:r>
            <w:r>
              <w:rPr>
                <w:rFonts w:ascii="Trebuchet MS" w:hAnsi="Trebuchet MS" w:cs="Tahoma"/>
                <w:color w:val="000000"/>
                <w:sz w:val="18"/>
                <w:szCs w:val="18"/>
              </w:rPr>
              <w:t>-</w:t>
            </w:r>
            <w:r w:rsidRPr="00106547">
              <w:rPr>
                <w:rFonts w:ascii="Trebuchet MS" w:hAnsi="Trebuchet MS" w:cs="Tahoma"/>
                <w:color w:val="000000"/>
                <w:sz w:val="18"/>
                <w:szCs w:val="18"/>
              </w:rPr>
              <w:t>Line Supervisors of Transportation Workers, All Other</w:t>
            </w:r>
          </w:p>
        </w:tc>
      </w:tr>
    </w:tbl>
    <w:p w14:paraId="51BD98DD" w14:textId="1327BB36" w:rsidR="000D390A" w:rsidRPr="000D390A" w:rsidRDefault="000D390A" w:rsidP="0094326B">
      <w:pPr>
        <w:spacing w:after="0" w:line="240" w:lineRule="auto"/>
        <w:rPr>
          <w:rFonts w:ascii="Trebuchet MS" w:eastAsia="Times New Roman" w:hAnsi="Trebuchet MS" w:cs="Arial"/>
          <w:color w:val="000000"/>
        </w:rPr>
      </w:pPr>
    </w:p>
    <w:p w14:paraId="719E25A2" w14:textId="77777777" w:rsidR="000D390A" w:rsidRPr="000D390A" w:rsidRDefault="000D390A" w:rsidP="000D390A">
      <w:pPr>
        <w:spacing w:after="0" w:line="240" w:lineRule="auto"/>
        <w:rPr>
          <w:rFonts w:ascii="Trebuchet MS" w:eastAsia="Times New Roman" w:hAnsi="Trebuchet MS" w:cs="Arial"/>
          <w:color w:val="000000"/>
        </w:rPr>
      </w:pPr>
    </w:p>
    <w:p w14:paraId="5B16ADCA" w14:textId="77777777" w:rsidR="000D390A" w:rsidRPr="000D390A" w:rsidRDefault="000D390A" w:rsidP="0062006E">
      <w:pPr>
        <w:pStyle w:val="Heading2"/>
        <w:rPr>
          <w:rFonts w:eastAsia="Times New Roman"/>
        </w:rPr>
      </w:pPr>
      <w:r w:rsidRPr="000D390A">
        <w:rPr>
          <w:rFonts w:eastAsia="Times New Roman"/>
        </w:rPr>
        <w:lastRenderedPageBreak/>
        <w:t>Industry Classification</w:t>
      </w:r>
    </w:p>
    <w:p w14:paraId="1015F4A1" w14:textId="1062EA39" w:rsidR="000D390A" w:rsidRPr="000D390A" w:rsidRDefault="000D390A" w:rsidP="000D390A">
      <w:pPr>
        <w:spacing w:after="0" w:line="240" w:lineRule="auto"/>
        <w:rPr>
          <w:rFonts w:ascii="Trebuchet MS" w:eastAsia="Times New Roman" w:hAnsi="Trebuchet MS" w:cs="Arial"/>
          <w:color w:val="000000"/>
        </w:rPr>
      </w:pPr>
      <w:r w:rsidRPr="008032EF">
        <w:rPr>
          <w:rFonts w:ascii="Trebuchet MS" w:eastAsia="Times New Roman" w:hAnsi="Trebuchet MS" w:cs="Arial"/>
          <w:color w:val="000000"/>
        </w:rPr>
        <w:t xml:space="preserve">OEWS estimates </w:t>
      </w:r>
      <w:r w:rsidR="00077E32" w:rsidRPr="008032EF">
        <w:rPr>
          <w:rFonts w:ascii="Trebuchet MS" w:eastAsia="Times New Roman" w:hAnsi="Trebuchet MS" w:cs="Arial"/>
          <w:color w:val="000000"/>
        </w:rPr>
        <w:t xml:space="preserve">published in </w:t>
      </w:r>
      <w:r w:rsidR="009A4BAF">
        <w:rPr>
          <w:rFonts w:ascii="Trebuchet MS" w:eastAsia="Times New Roman" w:hAnsi="Trebuchet MS" w:cs="Arial"/>
          <w:color w:val="000000"/>
        </w:rPr>
        <w:t>2025</w:t>
      </w:r>
      <w:r w:rsidR="00077E32" w:rsidRPr="008032EF">
        <w:rPr>
          <w:rFonts w:ascii="Trebuchet MS" w:eastAsia="Times New Roman" w:hAnsi="Trebuchet MS" w:cs="Arial"/>
          <w:color w:val="000000"/>
        </w:rPr>
        <w:t xml:space="preserve"> </w:t>
      </w:r>
      <w:r w:rsidRPr="008032EF">
        <w:rPr>
          <w:rFonts w:ascii="Trebuchet MS" w:eastAsia="Times New Roman" w:hAnsi="Trebuchet MS" w:cs="Arial"/>
          <w:color w:val="000000"/>
        </w:rPr>
        <w:t xml:space="preserve">utilize the OMB’s </w:t>
      </w:r>
      <w:r w:rsidR="009A4BAF">
        <w:rPr>
          <w:rFonts w:ascii="Trebuchet MS" w:eastAsia="Times New Roman" w:hAnsi="Trebuchet MS" w:cs="Arial"/>
          <w:color w:val="000000"/>
        </w:rPr>
        <w:t>202</w:t>
      </w:r>
      <w:r w:rsidR="00E53AC7">
        <w:rPr>
          <w:rFonts w:ascii="Trebuchet MS" w:eastAsia="Times New Roman" w:hAnsi="Trebuchet MS" w:cs="Arial"/>
          <w:color w:val="000000"/>
        </w:rPr>
        <w:t>2</w:t>
      </w:r>
      <w:r w:rsidRPr="008032EF">
        <w:rPr>
          <w:rFonts w:ascii="Trebuchet MS" w:eastAsia="Times New Roman" w:hAnsi="Trebuchet MS" w:cs="Arial"/>
          <w:color w:val="000000"/>
        </w:rPr>
        <w:t xml:space="preserve"> North American Industry Classification System (NAICS).</w:t>
      </w:r>
      <w:r w:rsidRPr="000D390A">
        <w:rPr>
          <w:rFonts w:ascii="Trebuchet MS" w:eastAsia="Times New Roman" w:hAnsi="Trebuchet MS" w:cs="Arial"/>
          <w:color w:val="000000"/>
        </w:rPr>
        <w:t xml:space="preserve"> National industry-specific occupational employment and wage estimates are available at the 2-digit sector level, 3-digit subsector level, and </w:t>
      </w:r>
      <w:r w:rsidR="0000018C">
        <w:rPr>
          <w:rFonts w:ascii="Trebuchet MS" w:eastAsia="Times New Roman" w:hAnsi="Trebuchet MS" w:cs="Arial"/>
          <w:color w:val="000000"/>
        </w:rPr>
        <w:t xml:space="preserve">most </w:t>
      </w:r>
      <w:r w:rsidRPr="000D390A">
        <w:rPr>
          <w:rFonts w:ascii="Trebuchet MS" w:eastAsia="Times New Roman" w:hAnsi="Trebuchet MS" w:cs="Arial"/>
          <w:color w:val="000000"/>
        </w:rPr>
        <w:t>4-digit industry group level. Select 5</w:t>
      </w:r>
      <w:r w:rsidR="005F79FC">
        <w:rPr>
          <w:rFonts w:ascii="Trebuchet MS" w:eastAsia="Times New Roman" w:hAnsi="Trebuchet MS" w:cs="Arial"/>
          <w:color w:val="000000"/>
        </w:rPr>
        <w:t>-</w:t>
      </w:r>
      <w:r w:rsidRPr="000D390A">
        <w:rPr>
          <w:rFonts w:ascii="Trebuchet MS" w:eastAsia="Times New Roman" w:hAnsi="Trebuchet MS" w:cs="Arial"/>
          <w:color w:val="000000"/>
        </w:rPr>
        <w:t xml:space="preserve"> and 6-digit industry level estimates are also available at the national level. Additional information on the NAICS is available at</w:t>
      </w:r>
      <w:r w:rsidRPr="000D390A">
        <w:rPr>
          <w:rFonts w:ascii="Trebuchet MS" w:eastAsia="Times New Roman" w:hAnsi="Trebuchet MS" w:cs="Times New Roman"/>
        </w:rPr>
        <w:t xml:space="preserve"> </w:t>
      </w:r>
      <w:hyperlink r:id="rId11" w:history="1">
        <w:r w:rsidRPr="005512AA">
          <w:rPr>
            <w:rFonts w:ascii="Trebuchet MS" w:eastAsia="Times New Roman" w:hAnsi="Trebuchet MS" w:cs="Arial"/>
            <w:color w:val="0000FF"/>
            <w:u w:val="single"/>
          </w:rPr>
          <w:t>https://www.bls.gov/bls/naics.htm</w:t>
        </w:r>
      </w:hyperlink>
      <w:r w:rsidRPr="000D390A">
        <w:rPr>
          <w:rFonts w:ascii="Trebuchet MS" w:eastAsia="Times New Roman" w:hAnsi="Trebuchet MS" w:cs="Arial"/>
          <w:color w:val="000000"/>
        </w:rPr>
        <w:t>.</w:t>
      </w:r>
    </w:p>
    <w:p w14:paraId="35567A96" w14:textId="77777777" w:rsidR="000D390A" w:rsidRPr="000D390A" w:rsidRDefault="000D390A" w:rsidP="000D390A">
      <w:pPr>
        <w:spacing w:after="0" w:line="240" w:lineRule="auto"/>
        <w:rPr>
          <w:rFonts w:ascii="Trebuchet MS" w:eastAsia="Times New Roman" w:hAnsi="Trebuchet MS" w:cs="Arial"/>
          <w:color w:val="000000"/>
        </w:rPr>
      </w:pPr>
    </w:p>
    <w:p w14:paraId="51A9ABE0" w14:textId="509D7632" w:rsidR="000D390A" w:rsidRPr="000D390A" w:rsidRDefault="007113D3" w:rsidP="000D390A">
      <w:pPr>
        <w:spacing w:after="0" w:line="240" w:lineRule="auto"/>
        <w:rPr>
          <w:rFonts w:ascii="Trebuchet MS" w:eastAsia="Times New Roman" w:hAnsi="Trebuchet MS" w:cs="Arial"/>
          <w:color w:val="000000"/>
        </w:rPr>
      </w:pPr>
      <w:r>
        <w:rPr>
          <w:rFonts w:ascii="Trebuchet MS" w:eastAsia="Times New Roman" w:hAnsi="Trebuchet MS" w:cs="Arial"/>
          <w:color w:val="000000"/>
        </w:rPr>
        <w:t xml:space="preserve">While </w:t>
      </w:r>
      <w:r w:rsidR="009A4BAF">
        <w:rPr>
          <w:rFonts w:ascii="Trebuchet MS" w:eastAsia="Times New Roman" w:hAnsi="Trebuchet MS" w:cs="Arial"/>
          <w:color w:val="000000"/>
        </w:rPr>
        <w:t>2025</w:t>
      </w:r>
      <w:r w:rsidR="000D390A" w:rsidRPr="000D390A">
        <w:rPr>
          <w:rFonts w:ascii="Trebuchet MS" w:eastAsia="Times New Roman" w:hAnsi="Trebuchet MS" w:cs="Arial"/>
          <w:color w:val="000000"/>
        </w:rPr>
        <w:t xml:space="preserve"> estimates are based on </w:t>
      </w:r>
      <w:r w:rsidR="009A4BAF">
        <w:rPr>
          <w:rFonts w:ascii="Trebuchet MS" w:eastAsia="Times New Roman" w:hAnsi="Trebuchet MS" w:cs="Arial"/>
          <w:color w:val="000000"/>
        </w:rPr>
        <w:t>2022</w:t>
      </w:r>
      <w:r w:rsidR="000D390A" w:rsidRPr="000D390A">
        <w:rPr>
          <w:rFonts w:ascii="Trebuchet MS" w:eastAsia="Times New Roman" w:hAnsi="Trebuchet MS" w:cs="Arial"/>
          <w:color w:val="000000"/>
        </w:rPr>
        <w:t xml:space="preserve"> NAICS</w:t>
      </w:r>
      <w:r>
        <w:rPr>
          <w:rFonts w:ascii="Trebuchet MS" w:eastAsia="Times New Roman" w:hAnsi="Trebuchet MS" w:cs="Arial"/>
          <w:color w:val="000000"/>
        </w:rPr>
        <w:t xml:space="preserve">, </w:t>
      </w:r>
      <w:r w:rsidR="001D708E">
        <w:rPr>
          <w:rFonts w:ascii="Trebuchet MS" w:eastAsia="Times New Roman" w:hAnsi="Trebuchet MS" w:cs="Arial"/>
          <w:color w:val="000000"/>
        </w:rPr>
        <w:t>several survey</w:t>
      </w:r>
      <w:r w:rsidR="00077E32">
        <w:rPr>
          <w:rFonts w:ascii="Trebuchet MS" w:eastAsia="Times New Roman" w:hAnsi="Trebuchet MS" w:cs="Arial"/>
          <w:color w:val="000000"/>
        </w:rPr>
        <w:t xml:space="preserve"> panels used for these estimates were collected </w:t>
      </w:r>
      <w:r>
        <w:rPr>
          <w:rFonts w:ascii="Trebuchet MS" w:eastAsia="Times New Roman" w:hAnsi="Trebuchet MS" w:cs="Arial"/>
          <w:color w:val="000000"/>
        </w:rPr>
        <w:t xml:space="preserve">under </w:t>
      </w:r>
      <w:r w:rsidR="00077E32">
        <w:rPr>
          <w:rFonts w:ascii="Trebuchet MS" w:eastAsia="Times New Roman" w:hAnsi="Trebuchet MS" w:cs="Arial"/>
          <w:color w:val="000000"/>
        </w:rPr>
        <w:t xml:space="preserve">the 2017 NAICS codes; these data were mapped </w:t>
      </w:r>
      <w:r w:rsidR="00D273F7">
        <w:rPr>
          <w:rFonts w:ascii="Trebuchet MS" w:eastAsia="Times New Roman" w:hAnsi="Trebuchet MS" w:cs="Arial"/>
          <w:color w:val="000000"/>
        </w:rPr>
        <w:t>to</w:t>
      </w:r>
      <w:r w:rsidR="00077E32">
        <w:rPr>
          <w:rFonts w:ascii="Trebuchet MS" w:eastAsia="Times New Roman" w:hAnsi="Trebuchet MS" w:cs="Arial"/>
          <w:color w:val="000000"/>
        </w:rPr>
        <w:t xml:space="preserve"> the corresponding </w:t>
      </w:r>
      <w:r w:rsidR="009A4BAF">
        <w:rPr>
          <w:rFonts w:ascii="Trebuchet MS" w:eastAsia="Times New Roman" w:hAnsi="Trebuchet MS" w:cs="Arial"/>
          <w:color w:val="000000"/>
        </w:rPr>
        <w:t>2022</w:t>
      </w:r>
      <w:r w:rsidR="00077E32">
        <w:rPr>
          <w:rFonts w:ascii="Trebuchet MS" w:eastAsia="Times New Roman" w:hAnsi="Trebuchet MS" w:cs="Arial"/>
          <w:color w:val="000000"/>
        </w:rPr>
        <w:t xml:space="preserve"> NAICS code.</w:t>
      </w:r>
      <w:r w:rsidR="000D390A" w:rsidRPr="000D390A">
        <w:rPr>
          <w:rFonts w:ascii="Trebuchet MS" w:eastAsia="Times New Roman" w:hAnsi="Trebuchet MS" w:cs="Arial"/>
          <w:color w:val="000000"/>
        </w:rPr>
        <w:t xml:space="preserve"> OEWS </w:t>
      </w:r>
      <w:r w:rsidR="00077E32">
        <w:rPr>
          <w:rFonts w:ascii="Trebuchet MS" w:eastAsia="Times New Roman" w:hAnsi="Trebuchet MS" w:cs="Arial"/>
          <w:color w:val="000000"/>
        </w:rPr>
        <w:t xml:space="preserve">estimates published from 2018 to </w:t>
      </w:r>
      <w:r w:rsidR="009A4BAF">
        <w:rPr>
          <w:rFonts w:ascii="Trebuchet MS" w:eastAsia="Times New Roman" w:hAnsi="Trebuchet MS" w:cs="Arial"/>
          <w:color w:val="000000"/>
        </w:rPr>
        <w:t>2022</w:t>
      </w:r>
      <w:r w:rsidR="00077E32">
        <w:rPr>
          <w:rFonts w:ascii="Trebuchet MS" w:eastAsia="Times New Roman" w:hAnsi="Trebuchet MS" w:cs="Arial"/>
          <w:color w:val="000000"/>
        </w:rPr>
        <w:t xml:space="preserve"> used the 2017 NAICS. </w:t>
      </w:r>
    </w:p>
    <w:p w14:paraId="753392FA" w14:textId="77777777" w:rsidR="000D390A" w:rsidRPr="000D390A" w:rsidRDefault="000D390A" w:rsidP="000D390A">
      <w:pPr>
        <w:spacing w:after="0" w:line="240" w:lineRule="auto"/>
        <w:rPr>
          <w:rFonts w:ascii="Trebuchet MS" w:eastAsia="Times New Roman" w:hAnsi="Trebuchet MS" w:cs="Arial"/>
          <w:color w:val="000000"/>
        </w:rPr>
      </w:pPr>
    </w:p>
    <w:p w14:paraId="569A8285" w14:textId="77777777" w:rsidR="000D390A" w:rsidRPr="000D390A" w:rsidRDefault="000D390A" w:rsidP="0062006E">
      <w:pPr>
        <w:pStyle w:val="Heading2"/>
        <w:rPr>
          <w:rFonts w:eastAsia="Times New Roman"/>
        </w:rPr>
      </w:pPr>
      <w:r w:rsidRPr="000D390A">
        <w:rPr>
          <w:rFonts w:eastAsia="Times New Roman"/>
        </w:rPr>
        <w:t>Sample Coverage</w:t>
      </w:r>
    </w:p>
    <w:p w14:paraId="008E1258" w14:textId="77777777"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 xml:space="preserve">The OEWS survey sample is drawn from employers covered by the state unemployment insurance (UI) program. Non-covered employers in NAICS 4821, </w:t>
      </w:r>
      <w:r w:rsidRPr="000D390A">
        <w:rPr>
          <w:rFonts w:ascii="Trebuchet MS" w:eastAsia="Times New Roman" w:hAnsi="Trebuchet MS" w:cs="Arial"/>
          <w:i/>
          <w:color w:val="000000"/>
        </w:rPr>
        <w:t>Rail Transportation</w:t>
      </w:r>
      <w:r w:rsidRPr="000D390A">
        <w:rPr>
          <w:rFonts w:ascii="Trebuchet MS" w:eastAsia="Times New Roman" w:hAnsi="Trebuchet MS" w:cs="Arial"/>
          <w:color w:val="000000"/>
        </w:rPr>
        <w:t xml:space="preserve">, are also included. </w:t>
      </w:r>
    </w:p>
    <w:p w14:paraId="65626E44" w14:textId="77777777" w:rsidR="000D390A" w:rsidRPr="000D390A" w:rsidRDefault="000D390A" w:rsidP="000D390A">
      <w:pPr>
        <w:spacing w:after="0" w:line="240" w:lineRule="auto"/>
        <w:rPr>
          <w:rFonts w:ascii="Trebuchet MS" w:eastAsia="Times New Roman" w:hAnsi="Trebuchet MS" w:cs="Arial"/>
          <w:color w:val="000000"/>
        </w:rPr>
      </w:pPr>
    </w:p>
    <w:p w14:paraId="0C2D1EAB" w14:textId="77777777"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State and local government are included in the sample. Federal coverage is limited to the Federal Executive Branch and the U.S. Postal Service and is collected annually in June by the U.S. Office of Personnel Management.</w:t>
      </w:r>
    </w:p>
    <w:p w14:paraId="39FE3DA5" w14:textId="77777777" w:rsidR="000D390A" w:rsidRPr="000D390A" w:rsidRDefault="000D390A" w:rsidP="000D390A">
      <w:pPr>
        <w:spacing w:after="0" w:line="240" w:lineRule="auto"/>
        <w:rPr>
          <w:rFonts w:ascii="Trebuchet MS" w:eastAsia="Times New Roman" w:hAnsi="Trebuchet MS" w:cs="Arial"/>
          <w:color w:val="000000"/>
        </w:rPr>
      </w:pPr>
    </w:p>
    <w:p w14:paraId="698FAD45" w14:textId="77777777"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 xml:space="preserve">Excluded from the survey are employers in NAICS 814, </w:t>
      </w:r>
      <w:r w:rsidRPr="000D390A">
        <w:rPr>
          <w:rFonts w:ascii="Trebuchet MS" w:eastAsia="Times New Roman" w:hAnsi="Trebuchet MS" w:cs="Arial"/>
          <w:i/>
          <w:color w:val="000000"/>
        </w:rPr>
        <w:t xml:space="preserve">Private Households, </w:t>
      </w:r>
      <w:r w:rsidRPr="000D390A">
        <w:rPr>
          <w:rFonts w:ascii="Trebuchet MS" w:eastAsia="Times New Roman" w:hAnsi="Trebuchet MS" w:cs="Arial"/>
          <w:color w:val="000000"/>
        </w:rPr>
        <w:t xml:space="preserve">and most employers in the Agriculture Sector (NAICS 11) </w:t>
      </w:r>
      <w:proofErr w:type="gramStart"/>
      <w:r w:rsidRPr="000D390A">
        <w:rPr>
          <w:rFonts w:ascii="Trebuchet MS" w:eastAsia="Times New Roman" w:hAnsi="Trebuchet MS" w:cs="Arial"/>
          <w:color w:val="000000"/>
        </w:rPr>
        <w:t>with the exception of</w:t>
      </w:r>
      <w:proofErr w:type="gramEnd"/>
      <w:r w:rsidRPr="000D390A">
        <w:rPr>
          <w:rFonts w:ascii="Trebuchet MS" w:eastAsia="Times New Roman" w:hAnsi="Trebuchet MS" w:cs="Arial"/>
          <w:color w:val="000000"/>
        </w:rPr>
        <w:t xml:space="preserve"> NAICS 113310, </w:t>
      </w:r>
      <w:r w:rsidRPr="000D390A">
        <w:rPr>
          <w:rFonts w:ascii="Trebuchet MS" w:eastAsia="Times New Roman" w:hAnsi="Trebuchet MS" w:cs="Arial"/>
          <w:i/>
          <w:color w:val="000000"/>
        </w:rPr>
        <w:t>Logging</w:t>
      </w:r>
      <w:r w:rsidRPr="000D390A">
        <w:rPr>
          <w:rFonts w:ascii="Trebuchet MS" w:eastAsia="Times New Roman" w:hAnsi="Trebuchet MS" w:cs="Arial"/>
          <w:color w:val="000000"/>
        </w:rPr>
        <w:t>; NAICS 1151</w:t>
      </w:r>
      <w:r w:rsidRPr="000D390A">
        <w:rPr>
          <w:rFonts w:ascii="Trebuchet MS" w:eastAsia="Times New Roman" w:hAnsi="Trebuchet MS" w:cs="Arial"/>
          <w:i/>
          <w:color w:val="000000"/>
        </w:rPr>
        <w:t>, Support Activities for Crop Production</w:t>
      </w:r>
      <w:r w:rsidRPr="000D390A">
        <w:rPr>
          <w:rFonts w:ascii="Trebuchet MS" w:eastAsia="Times New Roman" w:hAnsi="Trebuchet MS" w:cs="Arial"/>
          <w:color w:val="000000"/>
        </w:rPr>
        <w:t xml:space="preserve">; and </w:t>
      </w:r>
      <w:r w:rsidRPr="000D390A">
        <w:rPr>
          <w:rFonts w:ascii="Trebuchet MS" w:eastAsia="Times New Roman" w:hAnsi="Trebuchet MS" w:cs="Arial"/>
          <w:caps/>
          <w:color w:val="000000"/>
        </w:rPr>
        <w:t>NAICS</w:t>
      </w:r>
      <w:r w:rsidRPr="000D390A">
        <w:rPr>
          <w:rFonts w:ascii="Trebuchet MS" w:eastAsia="Times New Roman" w:hAnsi="Trebuchet MS" w:cs="Arial"/>
          <w:color w:val="000000"/>
        </w:rPr>
        <w:t xml:space="preserve"> 1152, </w:t>
      </w:r>
      <w:r w:rsidRPr="000D390A">
        <w:rPr>
          <w:rFonts w:ascii="Trebuchet MS" w:eastAsia="Times New Roman" w:hAnsi="Trebuchet MS" w:cs="Arial"/>
          <w:i/>
          <w:color w:val="000000"/>
        </w:rPr>
        <w:t>Support Activities for Animal Production.</w:t>
      </w:r>
      <w:r w:rsidRPr="000D390A">
        <w:rPr>
          <w:rFonts w:ascii="Trebuchet MS" w:eastAsia="Times New Roman" w:hAnsi="Trebuchet MS" w:cs="Arial"/>
          <w:color w:val="000000"/>
        </w:rPr>
        <w:t xml:space="preserve"> </w:t>
      </w:r>
    </w:p>
    <w:p w14:paraId="47F71119" w14:textId="77777777" w:rsidR="000D390A" w:rsidRPr="000D390A" w:rsidRDefault="000D390A" w:rsidP="000D390A">
      <w:pPr>
        <w:spacing w:after="0" w:line="240" w:lineRule="auto"/>
        <w:rPr>
          <w:rFonts w:ascii="Trebuchet MS" w:eastAsia="Times New Roman" w:hAnsi="Trebuchet MS" w:cs="Arial"/>
          <w:color w:val="000000"/>
        </w:rPr>
      </w:pPr>
    </w:p>
    <w:p w14:paraId="6C57CE89" w14:textId="77777777" w:rsidR="000D390A" w:rsidRPr="000D390A" w:rsidRDefault="000D390A" w:rsidP="0062006E">
      <w:pPr>
        <w:pStyle w:val="Heading2"/>
        <w:rPr>
          <w:rFonts w:eastAsia="Times New Roman"/>
        </w:rPr>
      </w:pPr>
      <w:r w:rsidRPr="000D390A">
        <w:rPr>
          <w:rFonts w:eastAsia="Times New Roman"/>
        </w:rPr>
        <w:t>Employment</w:t>
      </w:r>
    </w:p>
    <w:p w14:paraId="7F9B5188" w14:textId="4F84F124"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Employment is defined as the number of full-time and part-time employees, workers on paid vacation or other types of paid leave; workers on unpaid, short-term absence; workers assigned temporarily to other units, and paid owners, officers, and staff of incorporated firms. Excluded are self-employed, proprietors, owners, and partners of unincorporated firms and unpaid family workers.</w:t>
      </w:r>
    </w:p>
    <w:p w14:paraId="0493C0AD" w14:textId="77777777" w:rsidR="000D390A" w:rsidRPr="000D390A" w:rsidRDefault="000D390A" w:rsidP="000D390A">
      <w:pPr>
        <w:spacing w:after="0" w:line="240" w:lineRule="auto"/>
        <w:rPr>
          <w:rFonts w:ascii="Trebuchet MS" w:eastAsia="Times New Roman" w:hAnsi="Trebuchet MS" w:cs="Arial"/>
          <w:b/>
          <w:color w:val="000000"/>
        </w:rPr>
      </w:pPr>
    </w:p>
    <w:p w14:paraId="33536079" w14:textId="3A23D642"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 xml:space="preserve">The sum of sub-state area employment figures may not total to statewide employment for several reasons including: rounding; suppression of employment in areas where the estimates do not meet criteria for publication because of reliability or confidentiality; employment from cross-state metropolitan areas that are not included in the statewide total; and establishments whose employees are located within the state and counted in the statewide total, but not assigned to a particular sub-state area. </w:t>
      </w:r>
    </w:p>
    <w:p w14:paraId="20A8E191" w14:textId="77777777" w:rsidR="000D390A" w:rsidRPr="000D390A" w:rsidRDefault="000D390A" w:rsidP="000D390A">
      <w:pPr>
        <w:spacing w:after="0" w:line="240" w:lineRule="auto"/>
        <w:rPr>
          <w:rFonts w:ascii="Trebuchet MS" w:eastAsia="Times New Roman" w:hAnsi="Trebuchet MS" w:cs="Arial"/>
          <w:color w:val="000000"/>
        </w:rPr>
      </w:pPr>
    </w:p>
    <w:p w14:paraId="09E248D4" w14:textId="77777777" w:rsidR="000D390A" w:rsidRPr="000D390A" w:rsidRDefault="000D390A" w:rsidP="0062006E">
      <w:pPr>
        <w:pStyle w:val="Heading2"/>
        <w:rPr>
          <w:rFonts w:eastAsia="Times New Roman"/>
        </w:rPr>
      </w:pPr>
      <w:r w:rsidRPr="000D390A">
        <w:rPr>
          <w:rFonts w:eastAsia="Times New Roman"/>
        </w:rPr>
        <w:t>Wages and Earnings</w:t>
      </w:r>
    </w:p>
    <w:p w14:paraId="491095A0" w14:textId="5A6349F8"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Wages are defined as straight time, gross pay, exclusive of premium pay. Base rate, cost-of-living allowances, tips, guaranteed pay, hazardous-duty pay, incentive pay, commissions,</w:t>
      </w:r>
      <w:r w:rsidR="00E14E88">
        <w:rPr>
          <w:rFonts w:ascii="Trebuchet MS" w:eastAsia="Times New Roman" w:hAnsi="Trebuchet MS" w:cs="Arial"/>
          <w:color w:val="000000"/>
        </w:rPr>
        <w:t xml:space="preserve"> and</w:t>
      </w:r>
      <w:r w:rsidRPr="000D390A">
        <w:rPr>
          <w:rFonts w:ascii="Trebuchet MS" w:eastAsia="Times New Roman" w:hAnsi="Trebuchet MS" w:cs="Arial"/>
          <w:color w:val="000000"/>
        </w:rPr>
        <w:t xml:space="preserve"> production bonuses are included. Excluded are back pay, jury duty </w:t>
      </w:r>
      <w:proofErr w:type="gramStart"/>
      <w:r w:rsidRPr="000D390A">
        <w:rPr>
          <w:rFonts w:ascii="Trebuchet MS" w:eastAsia="Times New Roman" w:hAnsi="Trebuchet MS" w:cs="Arial"/>
          <w:color w:val="000000"/>
        </w:rPr>
        <w:t>pay</w:t>
      </w:r>
      <w:proofErr w:type="gramEnd"/>
      <w:r w:rsidRPr="000D390A">
        <w:rPr>
          <w:rFonts w:ascii="Trebuchet MS" w:eastAsia="Times New Roman" w:hAnsi="Trebuchet MS" w:cs="Arial"/>
          <w:color w:val="000000"/>
        </w:rPr>
        <w:t xml:space="preserve">, overtime pay, </w:t>
      </w:r>
      <w:r w:rsidR="00E14E88">
        <w:rPr>
          <w:rFonts w:ascii="Trebuchet MS" w:eastAsia="Times New Roman" w:hAnsi="Trebuchet MS" w:cs="Arial"/>
          <w:color w:val="000000"/>
        </w:rPr>
        <w:t xml:space="preserve">on-call pay, </w:t>
      </w:r>
      <w:r w:rsidRPr="000D390A">
        <w:rPr>
          <w:rFonts w:ascii="Trebuchet MS" w:eastAsia="Times New Roman" w:hAnsi="Trebuchet MS" w:cs="Arial"/>
          <w:color w:val="000000"/>
        </w:rPr>
        <w:t xml:space="preserve">severance pay, shift differentials, non-production bonuses, and tuition reimbursements. </w:t>
      </w:r>
      <w:r w:rsidR="00E14E88">
        <w:rPr>
          <w:rFonts w:ascii="Trebuchet MS" w:eastAsia="Times New Roman" w:hAnsi="Trebuchet MS" w:cs="Arial"/>
          <w:color w:val="000000"/>
        </w:rPr>
        <w:t xml:space="preserve">A full listing of included and excluded pay can be found at </w:t>
      </w:r>
      <w:hyperlink r:id="rId12" w:anchor="attendance_bonus" w:history="1">
        <w:r w:rsidR="009436C7" w:rsidRPr="00345494">
          <w:rPr>
            <w:rStyle w:val="Hyperlink"/>
            <w:rFonts w:ascii="Trebuchet MS" w:eastAsia="Times New Roman" w:hAnsi="Trebuchet MS" w:cs="Arial"/>
          </w:rPr>
          <w:t>https://www.bls.gov/respondents/oes/payterms.htm#attendance_bonus</w:t>
        </w:r>
      </w:hyperlink>
      <w:r w:rsidR="009436C7">
        <w:rPr>
          <w:rFonts w:ascii="Trebuchet MS" w:eastAsia="Times New Roman" w:hAnsi="Trebuchet MS" w:cs="Arial"/>
          <w:color w:val="000000"/>
        </w:rPr>
        <w:t>.</w:t>
      </w:r>
    </w:p>
    <w:p w14:paraId="1C490633" w14:textId="77777777" w:rsidR="000D390A" w:rsidRPr="000D390A" w:rsidRDefault="000D390A" w:rsidP="000D390A">
      <w:pPr>
        <w:spacing w:after="0" w:line="240" w:lineRule="auto"/>
        <w:rPr>
          <w:rFonts w:ascii="Trebuchet MS" w:eastAsia="Times New Roman" w:hAnsi="Trebuchet MS" w:cs="Arial"/>
          <w:color w:val="000000"/>
        </w:rPr>
      </w:pPr>
    </w:p>
    <w:p w14:paraId="387F9BA8" w14:textId="77777777"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lastRenderedPageBreak/>
        <w:t xml:space="preserve">Employers report the number of employees in an occupation and the corresponding wage rates for those employees. Establishments are instructed to provide hourly rates for part-time workers and annual rates for occupations that are typically paid an annual salary, but do not work 2,080 hours per year (i.e., teachers). The survey data are placed into 12 wage intervals, which are defined both as hourly rates and the corresponding annual rates (where annual rate = hourly rate x 2,080 hours).  </w:t>
      </w:r>
    </w:p>
    <w:p w14:paraId="128360AA" w14:textId="77777777" w:rsidR="000D390A" w:rsidRPr="000D390A" w:rsidRDefault="000D390A" w:rsidP="000D390A">
      <w:pPr>
        <w:spacing w:after="0" w:line="240" w:lineRule="auto"/>
        <w:rPr>
          <w:rFonts w:ascii="Trebuchet MS" w:eastAsia="Times New Roman" w:hAnsi="Trebuchet MS" w:cs="Arial"/>
          <w:color w:val="000000"/>
        </w:rPr>
      </w:pPr>
    </w:p>
    <w:p w14:paraId="55200B0F" w14:textId="77777777" w:rsidR="000D390A" w:rsidRPr="000D390A" w:rsidRDefault="000D390A" w:rsidP="000D390A">
      <w:pPr>
        <w:spacing w:after="0" w:line="240" w:lineRule="auto"/>
        <w:rPr>
          <w:rFonts w:ascii="Trebuchet MS" w:eastAsia="Times New Roman" w:hAnsi="Trebuchet MS" w:cs="Arial"/>
          <w:color w:val="000000"/>
        </w:rPr>
      </w:pPr>
      <w:r w:rsidRPr="000D390A">
        <w:rPr>
          <w:rFonts w:ascii="Trebuchet MS" w:eastAsia="Times New Roman" w:hAnsi="Trebuchet MS" w:cs="Arial"/>
          <w:color w:val="000000"/>
        </w:rPr>
        <w:t>Kentucky employs the 10</w:t>
      </w:r>
      <w:r w:rsidRPr="000D390A">
        <w:rPr>
          <w:rFonts w:ascii="Trebuchet MS" w:eastAsia="Times New Roman" w:hAnsi="Trebuchet MS" w:cs="Arial"/>
          <w:color w:val="000000"/>
          <w:vertAlign w:val="superscript"/>
        </w:rPr>
        <w:t>th</w:t>
      </w:r>
      <w:r w:rsidRPr="000D390A">
        <w:rPr>
          <w:rFonts w:ascii="Trebuchet MS" w:eastAsia="Times New Roman" w:hAnsi="Trebuchet MS" w:cs="Arial"/>
          <w:color w:val="000000"/>
        </w:rPr>
        <w:t xml:space="preserve"> percentile and 90</w:t>
      </w:r>
      <w:r w:rsidRPr="000D390A">
        <w:rPr>
          <w:rFonts w:ascii="Trebuchet MS" w:eastAsia="Times New Roman" w:hAnsi="Trebuchet MS" w:cs="Arial"/>
          <w:color w:val="000000"/>
          <w:vertAlign w:val="superscript"/>
        </w:rPr>
        <w:t>th</w:t>
      </w:r>
      <w:r w:rsidRPr="000D390A">
        <w:rPr>
          <w:rFonts w:ascii="Trebuchet MS" w:eastAsia="Times New Roman" w:hAnsi="Trebuchet MS" w:cs="Arial"/>
          <w:color w:val="000000"/>
        </w:rPr>
        <w:t xml:space="preserve"> percentile, respectively, for entry and experience level wage estimates.</w:t>
      </w:r>
    </w:p>
    <w:p w14:paraId="49552C38" w14:textId="77777777" w:rsidR="000D390A" w:rsidRPr="000D390A" w:rsidRDefault="000D390A" w:rsidP="000D390A">
      <w:pPr>
        <w:spacing w:after="0" w:line="240" w:lineRule="auto"/>
        <w:rPr>
          <w:rFonts w:ascii="Trebuchet MS" w:eastAsia="Times New Roman" w:hAnsi="Trebuchet MS" w:cs="Arial"/>
          <w:color w:val="000000"/>
        </w:rPr>
      </w:pPr>
    </w:p>
    <w:p w14:paraId="3C034FA8" w14:textId="77777777" w:rsidR="006243F2" w:rsidRDefault="006243F2" w:rsidP="0062006E">
      <w:pPr>
        <w:pStyle w:val="Heading2"/>
        <w:rPr>
          <w:rFonts w:eastAsia="Times New Roman"/>
        </w:rPr>
      </w:pPr>
      <w:r>
        <w:rPr>
          <w:rFonts w:eastAsia="Times New Roman"/>
        </w:rPr>
        <w:t>MB3 Estimation</w:t>
      </w:r>
    </w:p>
    <w:p w14:paraId="6613AA6F" w14:textId="43CC3C99" w:rsidR="006243F2" w:rsidRPr="005721CC" w:rsidRDefault="00D273F7" w:rsidP="006243F2">
      <w:pPr>
        <w:spacing w:after="0" w:line="240" w:lineRule="auto"/>
        <w:rPr>
          <w:rFonts w:ascii="Trebuchet MS" w:eastAsia="Times New Roman" w:hAnsi="Trebuchet MS" w:cs="Arial"/>
          <w:bCs/>
          <w:color w:val="000000"/>
        </w:rPr>
      </w:pPr>
      <w:r>
        <w:rPr>
          <w:rFonts w:ascii="Trebuchet MS" w:eastAsia="Times New Roman" w:hAnsi="Trebuchet MS" w:cs="Arial"/>
          <w:bCs/>
          <w:color w:val="000000"/>
        </w:rPr>
        <w:t>The estimates release</w:t>
      </w:r>
      <w:r w:rsidR="00B53D38">
        <w:rPr>
          <w:rFonts w:ascii="Trebuchet MS" w:eastAsia="Times New Roman" w:hAnsi="Trebuchet MS" w:cs="Arial"/>
          <w:bCs/>
          <w:color w:val="000000"/>
        </w:rPr>
        <w:t>d</w:t>
      </w:r>
      <w:r>
        <w:rPr>
          <w:rFonts w:ascii="Trebuchet MS" w:eastAsia="Times New Roman" w:hAnsi="Trebuchet MS" w:cs="Arial"/>
          <w:bCs/>
          <w:color w:val="000000"/>
        </w:rPr>
        <w:t xml:space="preserve"> in </w:t>
      </w:r>
      <w:r w:rsidR="009A4BAF">
        <w:rPr>
          <w:rFonts w:ascii="Trebuchet MS" w:eastAsia="Times New Roman" w:hAnsi="Trebuchet MS" w:cs="Arial"/>
          <w:bCs/>
          <w:color w:val="000000"/>
        </w:rPr>
        <w:t>2025</w:t>
      </w:r>
      <w:r>
        <w:rPr>
          <w:rFonts w:ascii="Trebuchet MS" w:eastAsia="Times New Roman" w:hAnsi="Trebuchet MS" w:cs="Arial"/>
          <w:bCs/>
          <w:color w:val="000000"/>
        </w:rPr>
        <w:t xml:space="preserve"> </w:t>
      </w:r>
      <w:r w:rsidR="00A7132E">
        <w:rPr>
          <w:rFonts w:ascii="Trebuchet MS" w:eastAsia="Times New Roman" w:hAnsi="Trebuchet MS" w:cs="Arial"/>
          <w:bCs/>
          <w:color w:val="000000"/>
        </w:rPr>
        <w:t>were</w:t>
      </w:r>
      <w:r w:rsidR="002B3100">
        <w:rPr>
          <w:rFonts w:ascii="Trebuchet MS" w:eastAsia="Times New Roman" w:hAnsi="Trebuchet MS" w:cs="Arial"/>
          <w:bCs/>
          <w:color w:val="000000"/>
        </w:rPr>
        <w:t xml:space="preserve"> </w:t>
      </w:r>
      <w:r w:rsidR="00416172">
        <w:rPr>
          <w:rFonts w:ascii="Trebuchet MS" w:eastAsia="Times New Roman" w:hAnsi="Trebuchet MS" w:cs="Arial"/>
          <w:bCs/>
          <w:color w:val="000000"/>
        </w:rPr>
        <w:t xml:space="preserve">produced </w:t>
      </w:r>
      <w:r>
        <w:rPr>
          <w:rFonts w:ascii="Trebuchet MS" w:eastAsia="Times New Roman" w:hAnsi="Trebuchet MS" w:cs="Arial"/>
          <w:bCs/>
          <w:color w:val="000000"/>
        </w:rPr>
        <w:t>us</w:t>
      </w:r>
      <w:r w:rsidR="00416172">
        <w:rPr>
          <w:rFonts w:ascii="Trebuchet MS" w:eastAsia="Times New Roman" w:hAnsi="Trebuchet MS" w:cs="Arial"/>
          <w:bCs/>
          <w:color w:val="000000"/>
        </w:rPr>
        <w:t>ing</w:t>
      </w:r>
      <w:r>
        <w:rPr>
          <w:rFonts w:ascii="Trebuchet MS" w:eastAsia="Times New Roman" w:hAnsi="Trebuchet MS" w:cs="Arial"/>
          <w:bCs/>
          <w:color w:val="000000"/>
        </w:rPr>
        <w:t xml:space="preserve"> the model-based MB3 estimation method introduced in </w:t>
      </w:r>
      <w:r w:rsidR="009A4BAF">
        <w:rPr>
          <w:rFonts w:ascii="Trebuchet MS" w:eastAsia="Times New Roman" w:hAnsi="Trebuchet MS" w:cs="Arial"/>
          <w:bCs/>
          <w:color w:val="000000"/>
        </w:rPr>
        <w:t>202</w:t>
      </w:r>
      <w:r w:rsidR="00A324FC">
        <w:rPr>
          <w:rFonts w:ascii="Trebuchet MS" w:eastAsia="Times New Roman" w:hAnsi="Trebuchet MS" w:cs="Arial"/>
          <w:bCs/>
          <w:color w:val="000000"/>
        </w:rPr>
        <w:t>2</w:t>
      </w:r>
      <w:r>
        <w:rPr>
          <w:rFonts w:ascii="Trebuchet MS" w:eastAsia="Times New Roman" w:hAnsi="Trebuchet MS" w:cs="Arial"/>
          <w:bCs/>
          <w:color w:val="000000"/>
        </w:rPr>
        <w:t xml:space="preserve">. </w:t>
      </w:r>
      <w:r w:rsidR="006243F2" w:rsidRPr="001B4916">
        <w:rPr>
          <w:rFonts w:ascii="Trebuchet MS" w:eastAsia="Times New Roman" w:hAnsi="Trebuchet MS" w:cs="Arial"/>
          <w:bCs/>
          <w:color w:val="000000"/>
        </w:rPr>
        <w:t>MB</w:t>
      </w:r>
      <w:r w:rsidR="006243F2" w:rsidRPr="005721CC">
        <w:rPr>
          <w:rFonts w:ascii="Trebuchet MS" w:eastAsia="Times New Roman" w:hAnsi="Trebuchet MS" w:cs="Arial"/>
          <w:bCs/>
          <w:color w:val="000000"/>
        </w:rPr>
        <w:t>3 uses data provided by survey respondents to model occupational staffing and wage data for all establishment</w:t>
      </w:r>
      <w:r w:rsidR="006243F2">
        <w:rPr>
          <w:rFonts w:ascii="Trebuchet MS" w:eastAsia="Times New Roman" w:hAnsi="Trebuchet MS" w:cs="Arial"/>
          <w:bCs/>
          <w:color w:val="000000"/>
        </w:rPr>
        <w:t>s</w:t>
      </w:r>
      <w:r w:rsidR="006243F2" w:rsidRPr="005721CC">
        <w:rPr>
          <w:rFonts w:ascii="Trebuchet MS" w:eastAsia="Times New Roman" w:hAnsi="Trebuchet MS" w:cs="Arial"/>
          <w:bCs/>
          <w:color w:val="000000"/>
        </w:rPr>
        <w:t xml:space="preserve"> in the population, including not only those that did not respond to the survey or did not meet stability criteria, but also those that were not sample</w:t>
      </w:r>
      <w:r w:rsidR="006243F2">
        <w:rPr>
          <w:rFonts w:ascii="Trebuchet MS" w:eastAsia="Times New Roman" w:hAnsi="Trebuchet MS" w:cs="Arial"/>
          <w:bCs/>
          <w:color w:val="000000"/>
        </w:rPr>
        <w:t>d</w:t>
      </w:r>
      <w:r w:rsidR="006243F2" w:rsidRPr="005721CC">
        <w:rPr>
          <w:rFonts w:ascii="Trebuchet MS" w:eastAsia="Times New Roman" w:hAnsi="Trebuchet MS" w:cs="Arial"/>
          <w:bCs/>
          <w:color w:val="000000"/>
        </w:rPr>
        <w:t>.</w:t>
      </w:r>
    </w:p>
    <w:p w14:paraId="1B7E4C54" w14:textId="77777777" w:rsidR="006243F2" w:rsidRPr="005721CC" w:rsidRDefault="006243F2" w:rsidP="006243F2">
      <w:pPr>
        <w:spacing w:after="0" w:line="240" w:lineRule="auto"/>
        <w:rPr>
          <w:rFonts w:ascii="Trebuchet MS" w:eastAsia="Times New Roman" w:hAnsi="Trebuchet MS" w:cs="Arial"/>
          <w:bCs/>
          <w:color w:val="000000"/>
        </w:rPr>
      </w:pPr>
    </w:p>
    <w:p w14:paraId="5742EA7C" w14:textId="5C2E44BF" w:rsidR="006243F2" w:rsidRPr="005721CC" w:rsidRDefault="006243F2" w:rsidP="006243F2">
      <w:pPr>
        <w:spacing w:after="0" w:line="240" w:lineRule="auto"/>
        <w:rPr>
          <w:rFonts w:ascii="Trebuchet MS" w:eastAsia="Times New Roman" w:hAnsi="Trebuchet MS" w:cs="Arial"/>
          <w:bCs/>
          <w:color w:val="000000"/>
        </w:rPr>
      </w:pPr>
      <w:r w:rsidRPr="005721CC">
        <w:rPr>
          <w:rFonts w:ascii="Trebuchet MS" w:eastAsia="Times New Roman" w:hAnsi="Trebuchet MS" w:cs="Arial"/>
          <w:bCs/>
          <w:color w:val="000000"/>
        </w:rPr>
        <w:t>Donor establishment data from units who responded to the survey are used to predict data for unobserved establishments in the population. Donor establishments are matched to recipients based on industry, geography, ownership, size</w:t>
      </w:r>
      <w:r w:rsidR="00A12104">
        <w:rPr>
          <w:rFonts w:ascii="Trebuchet MS" w:eastAsia="Times New Roman" w:hAnsi="Trebuchet MS" w:cs="Arial"/>
          <w:bCs/>
          <w:color w:val="000000"/>
        </w:rPr>
        <w:t>,</w:t>
      </w:r>
      <w:r w:rsidRPr="005721CC">
        <w:rPr>
          <w:rFonts w:ascii="Trebuchet MS" w:eastAsia="Times New Roman" w:hAnsi="Trebuchet MS" w:cs="Arial"/>
          <w:bCs/>
          <w:color w:val="000000"/>
        </w:rPr>
        <w:t xml:space="preserve"> and survey panel; with donors that are more </w:t>
      </w:r>
      <w:proofErr w:type="gramStart"/>
      <w:r w:rsidRPr="005721CC">
        <w:rPr>
          <w:rFonts w:ascii="Trebuchet MS" w:eastAsia="Times New Roman" w:hAnsi="Trebuchet MS" w:cs="Arial"/>
          <w:bCs/>
          <w:color w:val="000000"/>
        </w:rPr>
        <w:t>similar to</w:t>
      </w:r>
      <w:proofErr w:type="gramEnd"/>
      <w:r w:rsidRPr="005721CC">
        <w:rPr>
          <w:rFonts w:ascii="Trebuchet MS" w:eastAsia="Times New Roman" w:hAnsi="Trebuchet MS" w:cs="Arial"/>
          <w:bCs/>
          <w:color w:val="000000"/>
        </w:rPr>
        <w:t xml:space="preserve"> the unobserved establishment being given more weight when determining the modeled data. While a donor pool consisting of </w:t>
      </w:r>
      <w:r w:rsidR="00B53D38">
        <w:rPr>
          <w:rFonts w:ascii="Trebuchet MS" w:eastAsia="Times New Roman" w:hAnsi="Trebuchet MS" w:cs="Arial"/>
          <w:bCs/>
          <w:color w:val="000000"/>
        </w:rPr>
        <w:t xml:space="preserve">the </w:t>
      </w:r>
      <w:r w:rsidRPr="005721CC">
        <w:rPr>
          <w:rFonts w:ascii="Trebuchet MS" w:eastAsia="Times New Roman" w:hAnsi="Trebuchet MS" w:cs="Arial"/>
          <w:bCs/>
          <w:color w:val="000000"/>
        </w:rPr>
        <w:t>ten nearest neighbor responding establishments is typically used, as few as five donors may be used if more are not available.</w:t>
      </w:r>
    </w:p>
    <w:p w14:paraId="3D2A8B30" w14:textId="77777777" w:rsidR="006243F2" w:rsidRPr="005721CC" w:rsidRDefault="006243F2" w:rsidP="006243F2">
      <w:pPr>
        <w:spacing w:after="0" w:line="240" w:lineRule="auto"/>
        <w:rPr>
          <w:rFonts w:ascii="Trebuchet MS" w:eastAsia="Times New Roman" w:hAnsi="Trebuchet MS" w:cs="Arial"/>
          <w:bCs/>
          <w:color w:val="000000"/>
        </w:rPr>
      </w:pPr>
    </w:p>
    <w:p w14:paraId="1CDC5BCD" w14:textId="620A0596" w:rsidR="006243F2" w:rsidRPr="00672A6C" w:rsidRDefault="006243F2" w:rsidP="00DA35E7">
      <w:pPr>
        <w:pStyle w:val="NormalWeb"/>
        <w:shd w:val="clear" w:color="auto" w:fill="FFFFFF"/>
        <w:spacing w:before="0" w:beforeAutospacing="0" w:after="0" w:afterAutospacing="0"/>
        <w:rPr>
          <w:sz w:val="22"/>
          <w:szCs w:val="22"/>
        </w:rPr>
      </w:pPr>
      <w:r w:rsidRPr="00672A6C">
        <w:rPr>
          <w:rFonts w:ascii="Trebuchet MS" w:hAnsi="Trebuchet MS" w:cs="Arial"/>
          <w:bCs/>
          <w:color w:val="000000"/>
          <w:sz w:val="22"/>
          <w:szCs w:val="22"/>
        </w:rPr>
        <w:t xml:space="preserve">To set each establishment’s population employment, an average of the May </w:t>
      </w:r>
      <w:r w:rsidR="009A4BAF">
        <w:rPr>
          <w:rFonts w:ascii="Trebuchet MS" w:hAnsi="Trebuchet MS" w:cs="Arial"/>
          <w:bCs/>
          <w:color w:val="000000"/>
          <w:sz w:val="22"/>
          <w:szCs w:val="22"/>
        </w:rPr>
        <w:t>2024</w:t>
      </w:r>
      <w:r w:rsidRPr="00672A6C">
        <w:rPr>
          <w:rFonts w:ascii="Trebuchet MS" w:hAnsi="Trebuchet MS" w:cs="Arial"/>
          <w:bCs/>
          <w:color w:val="000000"/>
          <w:sz w:val="22"/>
          <w:szCs w:val="22"/>
        </w:rPr>
        <w:t xml:space="preserve"> and November </w:t>
      </w:r>
      <w:r w:rsidR="009A4BAF">
        <w:rPr>
          <w:rFonts w:ascii="Trebuchet MS" w:hAnsi="Trebuchet MS" w:cs="Arial"/>
          <w:bCs/>
          <w:color w:val="000000"/>
          <w:sz w:val="22"/>
          <w:szCs w:val="22"/>
        </w:rPr>
        <w:t>2023</w:t>
      </w:r>
      <w:r w:rsidR="009B6B52" w:rsidRPr="00672A6C">
        <w:rPr>
          <w:rFonts w:ascii="Trebuchet MS" w:hAnsi="Trebuchet MS" w:cs="Arial"/>
          <w:bCs/>
          <w:color w:val="000000"/>
          <w:sz w:val="22"/>
          <w:szCs w:val="22"/>
        </w:rPr>
        <w:t xml:space="preserve"> </w:t>
      </w:r>
      <w:r w:rsidRPr="00672A6C">
        <w:rPr>
          <w:rFonts w:ascii="Trebuchet MS" w:hAnsi="Trebuchet MS" w:cs="Arial"/>
          <w:bCs/>
          <w:color w:val="000000"/>
          <w:sz w:val="22"/>
          <w:szCs w:val="22"/>
        </w:rPr>
        <w:t>employment from the Quarterly Census of Employment and Wages (QCEW) program is used. Wage data collected in earlier survey panels are then adjusted to the reference date of the estimates</w:t>
      </w:r>
      <w:r w:rsidR="00BD159C" w:rsidRPr="00672A6C">
        <w:rPr>
          <w:rStyle w:val="FootnoteReference"/>
          <w:rFonts w:ascii="Trebuchet MS" w:hAnsi="Trebuchet MS" w:cs="Arial"/>
          <w:bCs/>
          <w:color w:val="000000"/>
          <w:sz w:val="22"/>
          <w:szCs w:val="22"/>
        </w:rPr>
        <w:footnoteReference w:id="1"/>
      </w:r>
      <w:r w:rsidRPr="00672A6C">
        <w:rPr>
          <w:rFonts w:ascii="Trebuchet MS" w:hAnsi="Trebuchet MS" w:cs="Arial"/>
          <w:bCs/>
          <w:color w:val="000000"/>
          <w:sz w:val="22"/>
          <w:szCs w:val="22"/>
        </w:rPr>
        <w:t xml:space="preserve"> while donor wages are adjusted for differences between the donor and the recipient, including characteristics such as geography and industry.</w:t>
      </w:r>
    </w:p>
    <w:p w14:paraId="06E83D75" w14:textId="320570EA" w:rsidR="00D273F7" w:rsidRDefault="00D273F7" w:rsidP="006243F2">
      <w:pPr>
        <w:spacing w:after="0" w:line="240" w:lineRule="auto"/>
        <w:rPr>
          <w:rFonts w:ascii="Trebuchet MS" w:eastAsia="Times New Roman" w:hAnsi="Trebuchet MS" w:cs="Arial"/>
          <w:bCs/>
          <w:color w:val="000000"/>
        </w:rPr>
      </w:pPr>
    </w:p>
    <w:p w14:paraId="15C99A7A" w14:textId="6E2D6317" w:rsidR="00D273F7" w:rsidRDefault="00D273F7" w:rsidP="006243F2">
      <w:pPr>
        <w:spacing w:after="0" w:line="240" w:lineRule="auto"/>
        <w:rPr>
          <w:rFonts w:ascii="Trebuchet MS" w:eastAsia="Times New Roman" w:hAnsi="Trebuchet MS" w:cs="Arial"/>
          <w:bCs/>
          <w:color w:val="000000"/>
        </w:rPr>
      </w:pPr>
      <w:r>
        <w:rPr>
          <w:rFonts w:ascii="Trebuchet MS" w:eastAsia="Times New Roman" w:hAnsi="Trebuchet MS" w:cs="Arial"/>
          <w:bCs/>
          <w:color w:val="000000"/>
        </w:rPr>
        <w:t xml:space="preserve">More information on this is available at </w:t>
      </w:r>
      <w:hyperlink r:id="rId13" w:history="1">
        <w:r w:rsidR="00416172" w:rsidRPr="00416172">
          <w:rPr>
            <w:rStyle w:val="Hyperlink"/>
            <w:rFonts w:ascii="Trebuchet MS" w:eastAsia="Times New Roman" w:hAnsi="Trebuchet MS" w:cs="Arial"/>
            <w:bCs/>
          </w:rPr>
          <w:t>https://www.bls.gov/oes/methods_23.pdf</w:t>
        </w:r>
      </w:hyperlink>
      <w:r>
        <w:rPr>
          <w:rFonts w:ascii="Trebuchet MS" w:eastAsia="Times New Roman" w:hAnsi="Trebuchet MS" w:cs="Arial"/>
          <w:bCs/>
          <w:color w:val="000000"/>
        </w:rPr>
        <w:t>.</w:t>
      </w:r>
    </w:p>
    <w:p w14:paraId="4C60E378" w14:textId="77777777" w:rsidR="006243F2" w:rsidRDefault="006243F2" w:rsidP="000D390A">
      <w:pPr>
        <w:spacing w:after="0" w:line="240" w:lineRule="auto"/>
        <w:rPr>
          <w:rFonts w:ascii="Trebuchet MS" w:eastAsia="Times New Roman" w:hAnsi="Trebuchet MS" w:cs="Arial"/>
          <w:b/>
          <w:color w:val="000000"/>
        </w:rPr>
      </w:pPr>
    </w:p>
    <w:p w14:paraId="638E3E27" w14:textId="4C2541FA" w:rsidR="000D390A" w:rsidRPr="000D390A" w:rsidRDefault="000D390A" w:rsidP="0062006E">
      <w:pPr>
        <w:pStyle w:val="Heading2"/>
        <w:rPr>
          <w:rFonts w:eastAsia="Times New Roman"/>
        </w:rPr>
      </w:pPr>
      <w:r w:rsidRPr="000D390A">
        <w:rPr>
          <w:rFonts w:eastAsia="Times New Roman"/>
        </w:rPr>
        <w:t>Confidentiality</w:t>
      </w:r>
    </w:p>
    <w:p w14:paraId="62F347E4" w14:textId="77777777" w:rsidR="000D390A" w:rsidRPr="000D390A" w:rsidRDefault="000D390A" w:rsidP="000D390A">
      <w:pPr>
        <w:spacing w:after="0" w:line="240" w:lineRule="auto"/>
        <w:rPr>
          <w:rFonts w:ascii="Trebuchet MS" w:eastAsia="Times New Roman" w:hAnsi="Trebuchet MS" w:cs="Times New Roman"/>
          <w:iCs/>
        </w:rPr>
      </w:pPr>
      <w:r w:rsidRPr="000D390A">
        <w:rPr>
          <w:rFonts w:ascii="Trebuchet MS" w:eastAsia="Times New Roman" w:hAnsi="Trebuchet MS" w:cs="Times New Roman"/>
          <w:iCs/>
        </w:rPr>
        <w:t xml:space="preserve">BLS has a strict confidentiality policy to ensure that the survey sample composition, reporters, and names of respondents are kept confidential. Additionally, the policy assures respondents that published estimates will not reveal the identity of any specific respondent or allow the data of a specific respondent to be inferred. The most relevant statute which governs BLS confidentiality is the Confidential Information Protection and Statistical Efficiency Act (CIPSEA). Published estimates are screened to ensure that these confidentiality requirements are met. For additional information regarding confidentiality, please visit the BLS website at </w:t>
      </w:r>
      <w:hyperlink r:id="rId14" w:history="1">
        <w:r w:rsidRPr="005512AA">
          <w:rPr>
            <w:rFonts w:ascii="Trebuchet MS" w:eastAsia="Times New Roman" w:hAnsi="Trebuchet MS" w:cs="Times New Roman"/>
            <w:iCs/>
            <w:color w:val="0070C0"/>
            <w:u w:val="single"/>
          </w:rPr>
          <w:t>https://www.bls.gov/bls/confidentiality.htm</w:t>
        </w:r>
      </w:hyperlink>
      <w:r w:rsidRPr="000D390A">
        <w:rPr>
          <w:rFonts w:ascii="Trebuchet MS" w:eastAsia="Times New Roman" w:hAnsi="Trebuchet MS" w:cs="Times New Roman"/>
          <w:iCs/>
        </w:rPr>
        <w:t>.</w:t>
      </w:r>
    </w:p>
    <w:p w14:paraId="2A19DAFC" w14:textId="77777777" w:rsidR="000D390A" w:rsidRPr="000D390A" w:rsidRDefault="000D390A" w:rsidP="000D390A">
      <w:pPr>
        <w:spacing w:after="0" w:line="240" w:lineRule="auto"/>
        <w:rPr>
          <w:rFonts w:ascii="Trebuchet MS" w:eastAsia="Times New Roman" w:hAnsi="Trebuchet MS" w:cs="Times New Roman"/>
          <w:iCs/>
        </w:rPr>
      </w:pPr>
    </w:p>
    <w:p w14:paraId="206FCE9B" w14:textId="77777777" w:rsidR="000D390A" w:rsidRPr="000D390A" w:rsidRDefault="000D390A" w:rsidP="000D390A">
      <w:pPr>
        <w:spacing w:after="0" w:line="240" w:lineRule="auto"/>
        <w:rPr>
          <w:rFonts w:ascii="Trebuchet MS" w:eastAsia="Times New Roman" w:hAnsi="Trebuchet MS" w:cs="Arial"/>
          <w:color w:val="000000"/>
        </w:rPr>
      </w:pPr>
    </w:p>
    <w:p w14:paraId="2C587E5F" w14:textId="0512D5FA" w:rsidR="009436C7" w:rsidRPr="009436C7" w:rsidRDefault="000D390A" w:rsidP="001B45DB">
      <w:pPr>
        <w:spacing w:after="0" w:line="240" w:lineRule="auto"/>
        <w:rPr>
          <w:rFonts w:ascii="Trebuchet MS" w:eastAsia="Times New Roman" w:hAnsi="Trebuchet MS" w:cs="Arial"/>
          <w:color w:val="000000"/>
          <w:sz w:val="18"/>
          <w:szCs w:val="18"/>
        </w:rPr>
      </w:pPr>
      <w:r w:rsidRPr="000D390A">
        <w:rPr>
          <w:rFonts w:ascii="Trebuchet MS" w:eastAsia="Times New Roman" w:hAnsi="Trebuchet MS" w:cs="Arial"/>
          <w:color w:val="000000"/>
        </w:rPr>
        <w:t xml:space="preserve">Additional information on the OEWS Program is available at </w:t>
      </w:r>
      <w:hyperlink r:id="rId15" w:history="1">
        <w:r w:rsidRPr="005512AA">
          <w:rPr>
            <w:rFonts w:ascii="Trebuchet MS" w:eastAsia="Times New Roman" w:hAnsi="Trebuchet MS" w:cs="Arial"/>
            <w:color w:val="0000FF"/>
            <w:u w:val="single"/>
          </w:rPr>
          <w:t>https://www.bls.gov/oes/home.htm</w:t>
        </w:r>
      </w:hyperlink>
      <w:r w:rsidRPr="000D390A">
        <w:rPr>
          <w:rFonts w:ascii="Trebuchet MS" w:eastAsia="Times New Roman" w:hAnsi="Trebuchet MS" w:cs="Arial"/>
          <w:color w:val="000000"/>
        </w:rPr>
        <w:t>.</w:t>
      </w:r>
      <w:hyperlink w:history="1"/>
    </w:p>
    <w:sectPr w:rsidR="009436C7" w:rsidRPr="009436C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E565B" w14:textId="77777777" w:rsidR="000B68A6" w:rsidRDefault="000B68A6" w:rsidP="00E6368C">
      <w:pPr>
        <w:spacing w:after="0" w:line="240" w:lineRule="auto"/>
      </w:pPr>
      <w:r>
        <w:separator/>
      </w:r>
    </w:p>
  </w:endnote>
  <w:endnote w:type="continuationSeparator" w:id="0">
    <w:p w14:paraId="6F2C1BAC" w14:textId="77777777" w:rsidR="000B68A6" w:rsidRDefault="000B68A6" w:rsidP="00E6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1C9D" w14:textId="77777777" w:rsidR="00E6368C" w:rsidRDefault="00490CE6">
    <w:pPr>
      <w:pStyle w:val="Footer"/>
    </w:pPr>
    <w:r>
      <w:rPr>
        <w:noProof/>
      </w:rPr>
      <mc:AlternateContent>
        <mc:Choice Requires="wps">
          <w:drawing>
            <wp:anchor distT="0" distB="0" distL="0" distR="0" simplePos="0" relativeHeight="251659264" behindDoc="0" locked="0" layoutInCell="1" allowOverlap="1" wp14:anchorId="4C5E543A" wp14:editId="59D20EC2">
              <wp:simplePos x="0" y="0"/>
              <wp:positionH relativeFrom="rightMargin">
                <wp:posOffset>-233045</wp:posOffset>
              </wp:positionH>
              <wp:positionV relativeFrom="bottomMargin">
                <wp:posOffset>182880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0C246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74CB2" w14:textId="64878409" w:rsidR="00E6368C" w:rsidRDefault="00E6368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D47B4">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E543A" id="Rectangle 40" o:spid="_x0000_s1027" style="position:absolute;margin-left:-18.35pt;margin-top:14.4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" fillcolor="#0c2462" stroked="f" strokeweight="3pt">
              <v:textbox>
                <w:txbxContent>
                  <w:p w14:paraId="12574CB2" w14:textId="64878409" w:rsidR="00E6368C" w:rsidRDefault="00E6368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D47B4">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0288" behindDoc="0" locked="0" layoutInCell="1" allowOverlap="1" wp14:anchorId="6A8D1293" wp14:editId="410E7309">
              <wp:simplePos x="0" y="0"/>
              <wp:positionH relativeFrom="margin">
                <wp:posOffset>-232913</wp:posOffset>
              </wp:positionH>
              <wp:positionV relativeFrom="bottomMargin">
                <wp:posOffset>182880</wp:posOffset>
              </wp:positionV>
              <wp:extent cx="5967095" cy="309350"/>
              <wp:effectExtent l="0" t="0" r="0" b="14605"/>
              <wp:wrapSquare wrapText="bothSides"/>
              <wp:docPr id="37" name="Group 37"/>
              <wp:cNvGraphicFramePr/>
              <a:graphic xmlns:a="http://schemas.openxmlformats.org/drawingml/2006/main">
                <a:graphicData uri="http://schemas.microsoft.com/office/word/2010/wordprocessingGroup">
                  <wpg:wgp>
                    <wpg:cNvGrpSpPr/>
                    <wpg:grpSpPr>
                      <a:xfrm>
                        <a:off x="0" y="0"/>
                        <a:ext cx="5967095" cy="309350"/>
                        <a:chOff x="0" y="10503"/>
                        <a:chExt cx="5986540" cy="313348"/>
                      </a:xfrm>
                    </wpg:grpSpPr>
                    <wps:wsp>
                      <wps:cNvPr id="38" name="Rectangle 38"/>
                      <wps:cNvSpPr/>
                      <wps:spPr>
                        <a:xfrm>
                          <a:off x="42940" y="10503"/>
                          <a:ext cx="5943600" cy="18826"/>
                        </a:xfrm>
                        <a:prstGeom prst="rect">
                          <a:avLst/>
                        </a:prstGeom>
                        <a:solidFill>
                          <a:srgbClr val="0C2462"/>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2085E" w14:textId="53E6EA32" w:rsidR="00E6368C" w:rsidRDefault="00EC56E8">
                            <w:pPr>
                              <w:jc w:val="right"/>
                              <w:rPr>
                                <w:color w:val="808080" w:themeColor="background1" w:themeShade="80"/>
                              </w:rPr>
                            </w:pPr>
                            <w:r>
                              <w:rPr>
                                <w:color w:val="7F7F7F" w:themeColor="text1" w:themeTint="80"/>
                              </w:rPr>
                              <w:fldChar w:fldCharType="begin"/>
                            </w:r>
                            <w:r>
                              <w:rPr>
                                <w:color w:val="7F7F7F" w:themeColor="text1" w:themeTint="80"/>
                              </w:rPr>
                              <w:instrText xml:space="preserve"> DATE \@ "M/d/yyyy" </w:instrText>
                            </w:r>
                            <w:r>
                              <w:rPr>
                                <w:color w:val="7F7F7F" w:themeColor="text1" w:themeTint="80"/>
                              </w:rPr>
                              <w:fldChar w:fldCharType="separate"/>
                            </w:r>
                            <w:r w:rsidR="001401A7">
                              <w:rPr>
                                <w:noProof/>
                                <w:color w:val="7F7F7F" w:themeColor="text1" w:themeTint="80"/>
                              </w:rPr>
                              <w:t>9/8/2025</w:t>
                            </w:r>
                            <w:r>
                              <w:rPr>
                                <w:color w:val="7F7F7F" w:themeColor="text1" w:themeTint="8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8D1293" id="Group 37" o:spid="_x0000_s1028" style="position:absolute;margin-left:-18.35pt;margin-top:14.4pt;width:469.85pt;height:24.35pt;z-index:251660288;mso-wrap-distance-left:0;mso-wrap-distance-right:0;mso-position-horizontal-relative:margin;mso-position-vertical-relative:bottom-margin-area;mso-width-relative:margin;mso-height-relative:margin" coordorigin=",105" coordsize="59865,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">
              <v:rect id="Rectangle 38" o:spid="_x0000_s1029" style="position:absolute;left:429;top:105;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" fillcolor="#0c2462" stroked="f"/>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D02085E" w14:textId="53E6EA32" w:rsidR="00E6368C" w:rsidRDefault="00EC56E8">
                      <w:pPr>
                        <w:jc w:val="right"/>
                        <w:rPr>
                          <w:color w:val="808080" w:themeColor="background1" w:themeShade="80"/>
                        </w:rPr>
                      </w:pPr>
                      <w:r>
                        <w:rPr>
                          <w:color w:val="7F7F7F" w:themeColor="text1" w:themeTint="80"/>
                        </w:rPr>
                        <w:fldChar w:fldCharType="begin"/>
                      </w:r>
                      <w:r>
                        <w:rPr>
                          <w:color w:val="7F7F7F" w:themeColor="text1" w:themeTint="80"/>
                        </w:rPr>
                        <w:instrText xml:space="preserve"> DATE \@ "M/d/yyyy" </w:instrText>
                      </w:r>
                      <w:r>
                        <w:rPr>
                          <w:color w:val="7F7F7F" w:themeColor="text1" w:themeTint="80"/>
                        </w:rPr>
                        <w:fldChar w:fldCharType="separate"/>
                      </w:r>
                      <w:r w:rsidR="001401A7">
                        <w:rPr>
                          <w:noProof/>
                          <w:color w:val="7F7F7F" w:themeColor="text1" w:themeTint="80"/>
                        </w:rPr>
                        <w:t>9/8/2025</w:t>
                      </w:r>
                      <w:r>
                        <w:rPr>
                          <w:color w:val="7F7F7F" w:themeColor="text1" w:themeTint="80"/>
                        </w:rPr>
                        <w:fldChar w:fldCharType="end"/>
                      </w: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6005A" w14:textId="77777777" w:rsidR="000B68A6" w:rsidRDefault="000B68A6" w:rsidP="00E6368C">
      <w:pPr>
        <w:spacing w:after="0" w:line="240" w:lineRule="auto"/>
      </w:pPr>
      <w:r>
        <w:separator/>
      </w:r>
    </w:p>
  </w:footnote>
  <w:footnote w:type="continuationSeparator" w:id="0">
    <w:p w14:paraId="27729780" w14:textId="77777777" w:rsidR="000B68A6" w:rsidRDefault="000B68A6" w:rsidP="00E6368C">
      <w:pPr>
        <w:spacing w:after="0" w:line="240" w:lineRule="auto"/>
      </w:pPr>
      <w:r>
        <w:continuationSeparator/>
      </w:r>
    </w:p>
  </w:footnote>
  <w:footnote w:id="1">
    <w:p w14:paraId="09F5D3A7" w14:textId="4A0618D9" w:rsidR="00BD159C" w:rsidRPr="009436C7" w:rsidRDefault="00BD159C" w:rsidP="00BD159C">
      <w:pPr>
        <w:spacing w:after="0" w:line="240" w:lineRule="auto"/>
        <w:jc w:val="both"/>
        <w:rPr>
          <w:rFonts w:ascii="Trebuchet MS" w:eastAsia="Times New Roman" w:hAnsi="Trebuchet MS" w:cs="Arial"/>
          <w:color w:val="000000"/>
          <w:sz w:val="18"/>
          <w:szCs w:val="18"/>
        </w:rPr>
      </w:pPr>
      <w:r>
        <w:rPr>
          <w:rStyle w:val="FootnoteReference"/>
        </w:rPr>
        <w:footnoteRef/>
      </w:r>
      <w:r>
        <w:t xml:space="preserve"> </w:t>
      </w:r>
      <w:r w:rsidRPr="009436C7">
        <w:rPr>
          <w:rFonts w:ascii="Trebuchet MS" w:eastAsia="Times New Roman" w:hAnsi="Trebuchet MS" w:cs="Arial"/>
          <w:color w:val="000000"/>
          <w:sz w:val="18"/>
          <w:szCs w:val="18"/>
        </w:rPr>
        <w:t xml:space="preserve">For example, the reference date of the estimates published in </w:t>
      </w:r>
      <w:r w:rsidR="009A4BAF">
        <w:rPr>
          <w:rFonts w:ascii="Trebuchet MS" w:eastAsia="Times New Roman" w:hAnsi="Trebuchet MS" w:cs="Arial"/>
          <w:color w:val="000000"/>
          <w:sz w:val="18"/>
          <w:szCs w:val="18"/>
        </w:rPr>
        <w:t>2025</w:t>
      </w:r>
      <w:r w:rsidRPr="009436C7">
        <w:rPr>
          <w:rFonts w:ascii="Trebuchet MS" w:eastAsia="Times New Roman" w:hAnsi="Trebuchet MS" w:cs="Arial"/>
          <w:color w:val="000000"/>
          <w:sz w:val="18"/>
          <w:szCs w:val="18"/>
        </w:rPr>
        <w:t xml:space="preserve"> is May </w:t>
      </w:r>
      <w:r w:rsidR="009A4BAF">
        <w:rPr>
          <w:rFonts w:ascii="Trebuchet MS" w:eastAsia="Times New Roman" w:hAnsi="Trebuchet MS" w:cs="Arial"/>
          <w:color w:val="000000"/>
          <w:sz w:val="18"/>
          <w:szCs w:val="18"/>
        </w:rPr>
        <w:t>2024</w:t>
      </w:r>
      <w:r w:rsidRPr="009436C7">
        <w:rPr>
          <w:rFonts w:ascii="Trebuchet MS" w:eastAsia="Times New Roman" w:hAnsi="Trebuchet MS" w:cs="Arial"/>
          <w:color w:val="000000"/>
          <w:sz w:val="18"/>
          <w:szCs w:val="18"/>
        </w:rPr>
        <w:t>.</w:t>
      </w:r>
    </w:p>
    <w:p w14:paraId="2C916D72" w14:textId="138E2901" w:rsidR="00BD159C" w:rsidRDefault="00BD159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666E"/>
    <w:multiLevelType w:val="multilevel"/>
    <w:tmpl w:val="DE946D04"/>
    <w:lvl w:ilvl="0">
      <w:start w:val="1"/>
      <w:numFmt w:val="decimal"/>
      <w:lvlText w:val="%1."/>
      <w:lvlJc w:val="left"/>
      <w:pPr>
        <w:tabs>
          <w:tab w:val="num" w:pos="630"/>
        </w:tabs>
        <w:ind w:left="630" w:hanging="360"/>
      </w:pPr>
      <w:rPr>
        <w:rFonts w:ascii="Gill Sans MT" w:hAnsi="Gill Sans MT"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727B0"/>
    <w:multiLevelType w:val="hybridMultilevel"/>
    <w:tmpl w:val="4C6062B2"/>
    <w:lvl w:ilvl="0" w:tplc="AAD899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D44D8"/>
    <w:multiLevelType w:val="multilevel"/>
    <w:tmpl w:val="9E9A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0B7D4C"/>
    <w:multiLevelType w:val="multilevel"/>
    <w:tmpl w:val="609C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8B4955"/>
    <w:multiLevelType w:val="hybridMultilevel"/>
    <w:tmpl w:val="05E0AAC2"/>
    <w:lvl w:ilvl="0" w:tplc="F7C04B9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926935">
    <w:abstractNumId w:val="0"/>
    <w:lvlOverride w:ilvl="0">
      <w:startOverride w:val="1"/>
    </w:lvlOverride>
  </w:num>
  <w:num w:numId="2" w16cid:durableId="79762437">
    <w:abstractNumId w:val="3"/>
  </w:num>
  <w:num w:numId="3" w16cid:durableId="452210941">
    <w:abstractNumId w:val="2"/>
  </w:num>
  <w:num w:numId="4" w16cid:durableId="190537559">
    <w:abstractNumId w:val="4"/>
  </w:num>
  <w:num w:numId="5" w16cid:durableId="1859201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A2"/>
    <w:rsid w:val="0000018C"/>
    <w:rsid w:val="0000758E"/>
    <w:rsid w:val="00024765"/>
    <w:rsid w:val="00030C2D"/>
    <w:rsid w:val="00034C96"/>
    <w:rsid w:val="000378AA"/>
    <w:rsid w:val="00075577"/>
    <w:rsid w:val="00077E32"/>
    <w:rsid w:val="00084D6A"/>
    <w:rsid w:val="000B68A6"/>
    <w:rsid w:val="000D390A"/>
    <w:rsid w:val="000D47B4"/>
    <w:rsid w:val="000E5A07"/>
    <w:rsid w:val="001102EF"/>
    <w:rsid w:val="00115427"/>
    <w:rsid w:val="00120453"/>
    <w:rsid w:val="001240E4"/>
    <w:rsid w:val="001401A7"/>
    <w:rsid w:val="001761F1"/>
    <w:rsid w:val="00182DBB"/>
    <w:rsid w:val="00183AC9"/>
    <w:rsid w:val="001B45DB"/>
    <w:rsid w:val="001B4916"/>
    <w:rsid w:val="001D708E"/>
    <w:rsid w:val="001F73A7"/>
    <w:rsid w:val="00201816"/>
    <w:rsid w:val="002108FD"/>
    <w:rsid w:val="002544F1"/>
    <w:rsid w:val="00255ABC"/>
    <w:rsid w:val="00295F0A"/>
    <w:rsid w:val="002B3100"/>
    <w:rsid w:val="002C3E7D"/>
    <w:rsid w:val="002E7563"/>
    <w:rsid w:val="002F0BD5"/>
    <w:rsid w:val="00340E9C"/>
    <w:rsid w:val="00366788"/>
    <w:rsid w:val="003862BA"/>
    <w:rsid w:val="003B69C2"/>
    <w:rsid w:val="00416172"/>
    <w:rsid w:val="00430233"/>
    <w:rsid w:val="004425CD"/>
    <w:rsid w:val="00480A20"/>
    <w:rsid w:val="00487572"/>
    <w:rsid w:val="00490CE6"/>
    <w:rsid w:val="004923D7"/>
    <w:rsid w:val="004A2D72"/>
    <w:rsid w:val="004B5260"/>
    <w:rsid w:val="00506203"/>
    <w:rsid w:val="005512AA"/>
    <w:rsid w:val="005721CC"/>
    <w:rsid w:val="005C0676"/>
    <w:rsid w:val="005D095E"/>
    <w:rsid w:val="005F5BF3"/>
    <w:rsid w:val="005F79FC"/>
    <w:rsid w:val="0062006E"/>
    <w:rsid w:val="006243F2"/>
    <w:rsid w:val="00672A6C"/>
    <w:rsid w:val="00680038"/>
    <w:rsid w:val="006C7F1E"/>
    <w:rsid w:val="006D507F"/>
    <w:rsid w:val="007113D3"/>
    <w:rsid w:val="00740013"/>
    <w:rsid w:val="008032EF"/>
    <w:rsid w:val="00805CA2"/>
    <w:rsid w:val="00807F1D"/>
    <w:rsid w:val="00814399"/>
    <w:rsid w:val="00857A56"/>
    <w:rsid w:val="00873C95"/>
    <w:rsid w:val="008E29F4"/>
    <w:rsid w:val="008E5F71"/>
    <w:rsid w:val="0094326B"/>
    <w:rsid w:val="009436C7"/>
    <w:rsid w:val="00982BBB"/>
    <w:rsid w:val="0098615D"/>
    <w:rsid w:val="00993249"/>
    <w:rsid w:val="00993DFA"/>
    <w:rsid w:val="009A4BAF"/>
    <w:rsid w:val="009A4F0C"/>
    <w:rsid w:val="009B2619"/>
    <w:rsid w:val="009B3092"/>
    <w:rsid w:val="009B6B52"/>
    <w:rsid w:val="00A12104"/>
    <w:rsid w:val="00A14B47"/>
    <w:rsid w:val="00A324FC"/>
    <w:rsid w:val="00A37746"/>
    <w:rsid w:val="00A53F43"/>
    <w:rsid w:val="00A55EC0"/>
    <w:rsid w:val="00A6555C"/>
    <w:rsid w:val="00A7132E"/>
    <w:rsid w:val="00AA7D20"/>
    <w:rsid w:val="00B53D38"/>
    <w:rsid w:val="00B7125D"/>
    <w:rsid w:val="00BA0418"/>
    <w:rsid w:val="00BA5E41"/>
    <w:rsid w:val="00BC0FC2"/>
    <w:rsid w:val="00BD159C"/>
    <w:rsid w:val="00BD6BF0"/>
    <w:rsid w:val="00BF2683"/>
    <w:rsid w:val="00C20928"/>
    <w:rsid w:val="00C3262B"/>
    <w:rsid w:val="00C351B2"/>
    <w:rsid w:val="00C57042"/>
    <w:rsid w:val="00C87D49"/>
    <w:rsid w:val="00D01951"/>
    <w:rsid w:val="00D161BA"/>
    <w:rsid w:val="00D17EE9"/>
    <w:rsid w:val="00D273F7"/>
    <w:rsid w:val="00D32C1C"/>
    <w:rsid w:val="00D73A83"/>
    <w:rsid w:val="00D81F3E"/>
    <w:rsid w:val="00DA35E7"/>
    <w:rsid w:val="00DB7B00"/>
    <w:rsid w:val="00DE2C26"/>
    <w:rsid w:val="00E07E3D"/>
    <w:rsid w:val="00E114D4"/>
    <w:rsid w:val="00E14E88"/>
    <w:rsid w:val="00E511FC"/>
    <w:rsid w:val="00E53AC7"/>
    <w:rsid w:val="00E6368C"/>
    <w:rsid w:val="00EA21CD"/>
    <w:rsid w:val="00EC2536"/>
    <w:rsid w:val="00EC56E8"/>
    <w:rsid w:val="00EE39C8"/>
    <w:rsid w:val="00EF24FB"/>
    <w:rsid w:val="00F01768"/>
    <w:rsid w:val="00F216FF"/>
    <w:rsid w:val="00F50EA1"/>
    <w:rsid w:val="00F763CB"/>
    <w:rsid w:val="00F81A0F"/>
    <w:rsid w:val="00F833A2"/>
    <w:rsid w:val="00F9265C"/>
    <w:rsid w:val="00FB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9044"/>
  <w15:docId w15:val="{24F7B961-27BF-46C6-9349-664E80CB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816"/>
    <w:pPr>
      <w:keepNext/>
      <w:keepLines/>
      <w:spacing w:before="240" w:after="0" w:line="276" w:lineRule="auto"/>
      <w:outlineLvl w:val="0"/>
    </w:pPr>
    <w:rPr>
      <w:rFonts w:ascii="Trebuchet MS" w:eastAsiaTheme="majorEastAsia" w:hAnsi="Trebuchet MS" w:cstheme="majorBidi"/>
      <w:sz w:val="30"/>
      <w:szCs w:val="32"/>
    </w:rPr>
  </w:style>
  <w:style w:type="paragraph" w:styleId="Heading2">
    <w:name w:val="heading 2"/>
    <w:basedOn w:val="Normal"/>
    <w:next w:val="Normal"/>
    <w:link w:val="Heading2Char"/>
    <w:uiPriority w:val="9"/>
    <w:unhideWhenUsed/>
    <w:qFormat/>
    <w:rsid w:val="008E5F71"/>
    <w:pPr>
      <w:keepNext/>
      <w:keepLines/>
      <w:spacing w:before="40" w:after="0"/>
      <w:outlineLvl w:val="1"/>
    </w:pPr>
    <w:rPr>
      <w:rFonts w:ascii="Trebuchet MS" w:eastAsiaTheme="majorEastAsia" w:hAnsi="Trebuchet MS"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68C"/>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E63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68C"/>
  </w:style>
  <w:style w:type="paragraph" w:styleId="Footer">
    <w:name w:val="footer"/>
    <w:basedOn w:val="Normal"/>
    <w:link w:val="FooterChar"/>
    <w:uiPriority w:val="99"/>
    <w:unhideWhenUsed/>
    <w:rsid w:val="00E63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68C"/>
  </w:style>
  <w:style w:type="paragraph" w:styleId="FootnoteText">
    <w:name w:val="footnote text"/>
    <w:basedOn w:val="Normal"/>
    <w:link w:val="FootnoteTextChar"/>
    <w:uiPriority w:val="99"/>
    <w:semiHidden/>
    <w:unhideWhenUsed/>
    <w:rsid w:val="00C20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928"/>
    <w:rPr>
      <w:sz w:val="20"/>
      <w:szCs w:val="20"/>
    </w:rPr>
  </w:style>
  <w:style w:type="character" w:styleId="FootnoteReference">
    <w:name w:val="footnote reference"/>
    <w:basedOn w:val="DefaultParagraphFont"/>
    <w:uiPriority w:val="99"/>
    <w:semiHidden/>
    <w:unhideWhenUsed/>
    <w:rsid w:val="00C20928"/>
    <w:rPr>
      <w:vertAlign w:val="superscript"/>
    </w:rPr>
  </w:style>
  <w:style w:type="paragraph" w:styleId="EndnoteText">
    <w:name w:val="endnote text"/>
    <w:basedOn w:val="Normal"/>
    <w:link w:val="EndnoteTextChar"/>
    <w:uiPriority w:val="99"/>
    <w:semiHidden/>
    <w:unhideWhenUsed/>
    <w:rsid w:val="001240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40E4"/>
    <w:rPr>
      <w:sz w:val="20"/>
      <w:szCs w:val="20"/>
    </w:rPr>
  </w:style>
  <w:style w:type="character" w:styleId="EndnoteReference">
    <w:name w:val="endnote reference"/>
    <w:basedOn w:val="DefaultParagraphFont"/>
    <w:uiPriority w:val="99"/>
    <w:semiHidden/>
    <w:unhideWhenUsed/>
    <w:rsid w:val="001240E4"/>
    <w:rPr>
      <w:vertAlign w:val="superscript"/>
    </w:rPr>
  </w:style>
  <w:style w:type="character" w:customStyle="1" w:styleId="Heading1Char">
    <w:name w:val="Heading 1 Char"/>
    <w:basedOn w:val="DefaultParagraphFont"/>
    <w:link w:val="Heading1"/>
    <w:uiPriority w:val="9"/>
    <w:rsid w:val="00201816"/>
    <w:rPr>
      <w:rFonts w:ascii="Trebuchet MS" w:eastAsiaTheme="majorEastAsia" w:hAnsi="Trebuchet MS" w:cstheme="majorBidi"/>
      <w:sz w:val="30"/>
      <w:szCs w:val="32"/>
    </w:rPr>
  </w:style>
  <w:style w:type="paragraph" w:styleId="ListParagraph">
    <w:name w:val="List Paragraph"/>
    <w:basedOn w:val="Normal"/>
    <w:uiPriority w:val="34"/>
    <w:qFormat/>
    <w:rsid w:val="00EC56E8"/>
    <w:pPr>
      <w:spacing w:after="200" w:line="276" w:lineRule="auto"/>
      <w:ind w:left="720"/>
      <w:contextualSpacing/>
    </w:pPr>
  </w:style>
  <w:style w:type="paragraph" w:styleId="Revision">
    <w:name w:val="Revision"/>
    <w:hidden/>
    <w:uiPriority w:val="99"/>
    <w:semiHidden/>
    <w:rsid w:val="00EC56E8"/>
    <w:pPr>
      <w:spacing w:after="0" w:line="240" w:lineRule="auto"/>
    </w:pPr>
    <w:rPr>
      <w:rFonts w:ascii="Arial" w:eastAsia="Arial" w:hAnsi="Arial" w:cs="Arial"/>
      <w:lang w:bidi="en-US"/>
    </w:rPr>
  </w:style>
  <w:style w:type="paragraph" w:styleId="NoSpacing">
    <w:name w:val="No Spacing"/>
    <w:uiPriority w:val="1"/>
    <w:qFormat/>
    <w:rsid w:val="00EC56E8"/>
    <w:pPr>
      <w:spacing w:after="0" w:line="240" w:lineRule="auto"/>
    </w:pPr>
  </w:style>
  <w:style w:type="paragraph" w:styleId="BalloonText">
    <w:name w:val="Balloon Text"/>
    <w:basedOn w:val="Normal"/>
    <w:link w:val="BalloonTextChar"/>
    <w:uiPriority w:val="99"/>
    <w:semiHidden/>
    <w:unhideWhenUsed/>
    <w:rsid w:val="00115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427"/>
    <w:rPr>
      <w:rFonts w:ascii="Segoe UI" w:hAnsi="Segoe UI" w:cs="Segoe UI"/>
      <w:sz w:val="18"/>
      <w:szCs w:val="18"/>
    </w:rPr>
  </w:style>
  <w:style w:type="character" w:styleId="CommentReference">
    <w:name w:val="annotation reference"/>
    <w:basedOn w:val="DefaultParagraphFont"/>
    <w:uiPriority w:val="99"/>
    <w:semiHidden/>
    <w:unhideWhenUsed/>
    <w:rsid w:val="001761F1"/>
    <w:rPr>
      <w:sz w:val="16"/>
      <w:szCs w:val="16"/>
    </w:rPr>
  </w:style>
  <w:style w:type="paragraph" w:styleId="CommentText">
    <w:name w:val="annotation text"/>
    <w:basedOn w:val="Normal"/>
    <w:link w:val="CommentTextChar"/>
    <w:uiPriority w:val="99"/>
    <w:unhideWhenUsed/>
    <w:rsid w:val="001761F1"/>
    <w:pPr>
      <w:spacing w:line="240" w:lineRule="auto"/>
    </w:pPr>
    <w:rPr>
      <w:sz w:val="20"/>
      <w:szCs w:val="20"/>
    </w:rPr>
  </w:style>
  <w:style w:type="character" w:customStyle="1" w:styleId="CommentTextChar">
    <w:name w:val="Comment Text Char"/>
    <w:basedOn w:val="DefaultParagraphFont"/>
    <w:link w:val="CommentText"/>
    <w:uiPriority w:val="99"/>
    <w:rsid w:val="001761F1"/>
    <w:rPr>
      <w:sz w:val="20"/>
      <w:szCs w:val="20"/>
    </w:rPr>
  </w:style>
  <w:style w:type="paragraph" w:styleId="CommentSubject">
    <w:name w:val="annotation subject"/>
    <w:basedOn w:val="CommentText"/>
    <w:next w:val="CommentText"/>
    <w:link w:val="CommentSubjectChar"/>
    <w:uiPriority w:val="99"/>
    <w:semiHidden/>
    <w:unhideWhenUsed/>
    <w:rsid w:val="001761F1"/>
    <w:rPr>
      <w:b/>
      <w:bCs/>
    </w:rPr>
  </w:style>
  <w:style w:type="character" w:customStyle="1" w:styleId="CommentSubjectChar">
    <w:name w:val="Comment Subject Char"/>
    <w:basedOn w:val="CommentTextChar"/>
    <w:link w:val="CommentSubject"/>
    <w:uiPriority w:val="99"/>
    <w:semiHidden/>
    <w:rsid w:val="001761F1"/>
    <w:rPr>
      <w:b/>
      <w:bCs/>
      <w:sz w:val="20"/>
      <w:szCs w:val="20"/>
    </w:rPr>
  </w:style>
  <w:style w:type="character" w:styleId="Hyperlink">
    <w:name w:val="Hyperlink"/>
    <w:basedOn w:val="DefaultParagraphFont"/>
    <w:uiPriority w:val="99"/>
    <w:unhideWhenUsed/>
    <w:rsid w:val="00034C96"/>
    <w:rPr>
      <w:color w:val="0000FF"/>
      <w:u w:val="single"/>
    </w:rPr>
  </w:style>
  <w:style w:type="paragraph" w:customStyle="1" w:styleId="xmsonormal">
    <w:name w:val="x_msonormal"/>
    <w:basedOn w:val="Normal"/>
    <w:rsid w:val="00740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4x0gbcw17">
    <w:name w:val="mark4x0gbcw17"/>
    <w:basedOn w:val="DefaultParagraphFont"/>
    <w:rsid w:val="00075577"/>
  </w:style>
  <w:style w:type="character" w:customStyle="1" w:styleId="markprdbd31wy">
    <w:name w:val="markprdbd31wy"/>
    <w:basedOn w:val="DefaultParagraphFont"/>
    <w:rsid w:val="00075577"/>
  </w:style>
  <w:style w:type="paragraph" w:styleId="NormalWeb">
    <w:name w:val="Normal (Web)"/>
    <w:basedOn w:val="Normal"/>
    <w:uiPriority w:val="99"/>
    <w:unhideWhenUsed/>
    <w:rsid w:val="001B4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ofqwn9m4i">
    <w:name w:val="markofqwn9m4i"/>
    <w:basedOn w:val="DefaultParagraphFont"/>
    <w:rsid w:val="001B4916"/>
  </w:style>
  <w:style w:type="character" w:customStyle="1" w:styleId="markdumznrze1">
    <w:name w:val="markdumznrze1"/>
    <w:basedOn w:val="DefaultParagraphFont"/>
    <w:rsid w:val="001B4916"/>
  </w:style>
  <w:style w:type="character" w:customStyle="1" w:styleId="UnresolvedMention1">
    <w:name w:val="Unresolved Mention1"/>
    <w:basedOn w:val="DefaultParagraphFont"/>
    <w:uiPriority w:val="99"/>
    <w:semiHidden/>
    <w:unhideWhenUsed/>
    <w:rsid w:val="002544F1"/>
    <w:rPr>
      <w:color w:val="605E5C"/>
      <w:shd w:val="clear" w:color="auto" w:fill="E1DFDD"/>
    </w:rPr>
  </w:style>
  <w:style w:type="paragraph" w:styleId="Subtitle">
    <w:name w:val="Subtitle"/>
    <w:basedOn w:val="Normal"/>
    <w:next w:val="Normal"/>
    <w:link w:val="SubtitleChar"/>
    <w:uiPriority w:val="11"/>
    <w:qFormat/>
    <w:rsid w:val="00201816"/>
    <w:pPr>
      <w:numPr>
        <w:ilvl w:val="1"/>
      </w:numPr>
      <w:jc w:val="center"/>
    </w:pPr>
    <w:rPr>
      <w:rFonts w:ascii="Trebuchet MS" w:eastAsiaTheme="minorEastAsia" w:hAnsi="Trebuchet MS"/>
      <w:spacing w:val="15"/>
      <w:sz w:val="24"/>
    </w:rPr>
  </w:style>
  <w:style w:type="character" w:customStyle="1" w:styleId="SubtitleChar">
    <w:name w:val="Subtitle Char"/>
    <w:basedOn w:val="DefaultParagraphFont"/>
    <w:link w:val="Subtitle"/>
    <w:uiPriority w:val="11"/>
    <w:rsid w:val="00201816"/>
    <w:rPr>
      <w:rFonts w:ascii="Trebuchet MS" w:eastAsiaTheme="minorEastAsia" w:hAnsi="Trebuchet MS"/>
      <w:spacing w:val="15"/>
      <w:sz w:val="24"/>
    </w:rPr>
  </w:style>
  <w:style w:type="character" w:customStyle="1" w:styleId="Heading2Char">
    <w:name w:val="Heading 2 Char"/>
    <w:basedOn w:val="DefaultParagraphFont"/>
    <w:link w:val="Heading2"/>
    <w:uiPriority w:val="9"/>
    <w:rsid w:val="008E5F71"/>
    <w:rPr>
      <w:rFonts w:ascii="Trebuchet MS" w:eastAsiaTheme="majorEastAsia" w:hAnsi="Trebuchet MS" w:cstheme="majorBidi"/>
      <w:b/>
      <w:szCs w:val="26"/>
    </w:rPr>
  </w:style>
  <w:style w:type="character" w:styleId="FollowedHyperlink">
    <w:name w:val="FollowedHyperlink"/>
    <w:basedOn w:val="DefaultParagraphFont"/>
    <w:uiPriority w:val="99"/>
    <w:semiHidden/>
    <w:unhideWhenUsed/>
    <w:rsid w:val="00A12104"/>
    <w:rPr>
      <w:color w:val="954F72" w:themeColor="followedHyperlink"/>
      <w:u w:val="single"/>
    </w:rPr>
  </w:style>
  <w:style w:type="character" w:styleId="UnresolvedMention">
    <w:name w:val="Unresolved Mention"/>
    <w:basedOn w:val="DefaultParagraphFont"/>
    <w:uiPriority w:val="99"/>
    <w:semiHidden/>
    <w:unhideWhenUsed/>
    <w:rsid w:val="009B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49378">
      <w:bodyDiv w:val="1"/>
      <w:marLeft w:val="0"/>
      <w:marRight w:val="0"/>
      <w:marTop w:val="0"/>
      <w:marBottom w:val="0"/>
      <w:divBdr>
        <w:top w:val="none" w:sz="0" w:space="0" w:color="auto"/>
        <w:left w:val="none" w:sz="0" w:space="0" w:color="auto"/>
        <w:bottom w:val="none" w:sz="0" w:space="0" w:color="auto"/>
        <w:right w:val="none" w:sz="0" w:space="0" w:color="auto"/>
      </w:divBdr>
    </w:div>
    <w:div w:id="970012503">
      <w:bodyDiv w:val="1"/>
      <w:marLeft w:val="0"/>
      <w:marRight w:val="0"/>
      <w:marTop w:val="0"/>
      <w:marBottom w:val="0"/>
      <w:divBdr>
        <w:top w:val="none" w:sz="0" w:space="0" w:color="auto"/>
        <w:left w:val="none" w:sz="0" w:space="0" w:color="auto"/>
        <w:bottom w:val="none" w:sz="0" w:space="0" w:color="auto"/>
        <w:right w:val="none" w:sz="0" w:space="0" w:color="auto"/>
      </w:divBdr>
    </w:div>
    <w:div w:id="1333408998">
      <w:bodyDiv w:val="1"/>
      <w:marLeft w:val="0"/>
      <w:marRight w:val="0"/>
      <w:marTop w:val="0"/>
      <w:marBottom w:val="0"/>
      <w:divBdr>
        <w:top w:val="none" w:sz="0" w:space="0" w:color="auto"/>
        <w:left w:val="none" w:sz="0" w:space="0" w:color="auto"/>
        <w:bottom w:val="none" w:sz="0" w:space="0" w:color="auto"/>
        <w:right w:val="none" w:sz="0" w:space="0" w:color="auto"/>
      </w:divBdr>
    </w:div>
    <w:div w:id="1991665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methods_23.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ls.gov/respondents/oes/payterm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bls/naics.htm" TargetMode="External"/><Relationship Id="rId5" Type="http://schemas.openxmlformats.org/officeDocument/2006/relationships/settings" Target="settings.xml"/><Relationship Id="rId15" Type="http://schemas.openxmlformats.org/officeDocument/2006/relationships/hyperlink" Target="https://www.bls.gov/oes/home.htm" TargetMode="External"/><Relationship Id="rId10" Type="http://schemas.openxmlformats.org/officeDocument/2006/relationships/hyperlink" Target="https://www.bls.gov/so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ls.gov/bls/confidentialit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magness\Documents\Custom%20Office%20Templates\report%20template%20decora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1BEA75-131B-4F04-9F3E-61A911B6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decorative</Template>
  <TotalTime>1</TotalTime>
  <Pages>5</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kelli.magness</dc:creator>
  <cp:keywords/>
  <dc:description/>
  <cp:lastModifiedBy>Depew, Jessica D (ELC)</cp:lastModifiedBy>
  <cp:revision>2</cp:revision>
  <cp:lastPrinted>2021-04-09T15:53:00Z</cp:lastPrinted>
  <dcterms:created xsi:type="dcterms:W3CDTF">2025-09-08T17:24:00Z</dcterms:created>
  <dcterms:modified xsi:type="dcterms:W3CDTF">2025-09-08T17:24:00Z</dcterms:modified>
</cp:coreProperties>
</file>